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EC9" w:rsidRPr="005F7EC9" w:rsidRDefault="005F7EC9" w:rsidP="005F7EC9">
      <w:pPr>
        <w:jc w:val="right"/>
        <w:rPr>
          <w:rFonts w:ascii="Arial" w:hAnsi="Arial" w:cs="Arial"/>
          <w:b/>
          <w:sz w:val="48"/>
          <w:szCs w:val="48"/>
        </w:rPr>
      </w:pPr>
      <w:bookmarkStart w:id="0" w:name="_Toc153189646"/>
      <w:bookmarkStart w:id="1" w:name="_Toc214003082"/>
      <w:r w:rsidRPr="005F7EC9">
        <w:rPr>
          <w:rFonts w:ascii="Arial" w:hAnsi="Arial" w:cs="Arial"/>
          <w:b/>
          <w:sz w:val="48"/>
          <w:szCs w:val="48"/>
        </w:rPr>
        <w:t xml:space="preserve">Work Paper </w:t>
      </w:r>
      <w:bookmarkEnd w:id="0"/>
      <w:r w:rsidRPr="005F7EC9">
        <w:rPr>
          <w:rFonts w:ascii="Arial" w:hAnsi="Arial" w:cs="Arial"/>
          <w:b/>
          <w:sz w:val="48"/>
          <w:szCs w:val="48"/>
        </w:rPr>
        <w:t>PGECOHVC146</w:t>
      </w:r>
      <w:bookmarkStart w:id="2" w:name="_Toc153189647"/>
    </w:p>
    <w:p w:rsidR="005F7EC9" w:rsidRPr="005F7EC9" w:rsidRDefault="005F7EC9" w:rsidP="005F7EC9">
      <w:pPr>
        <w:jc w:val="right"/>
        <w:rPr>
          <w:rFonts w:ascii="Arial" w:hAnsi="Arial" w:cs="Arial"/>
          <w:b/>
          <w:sz w:val="48"/>
          <w:szCs w:val="48"/>
        </w:rPr>
      </w:pPr>
      <w:r w:rsidRPr="005F7EC9">
        <w:rPr>
          <w:rFonts w:ascii="Arial" w:hAnsi="Arial" w:cs="Arial"/>
          <w:b/>
          <w:sz w:val="48"/>
          <w:szCs w:val="48"/>
        </w:rPr>
        <w:t xml:space="preserve">95 AFUE </w:t>
      </w:r>
      <w:proofErr w:type="gramStart"/>
      <w:r w:rsidRPr="005F7EC9">
        <w:rPr>
          <w:rFonts w:ascii="Arial" w:hAnsi="Arial" w:cs="Arial"/>
          <w:b/>
          <w:sz w:val="48"/>
          <w:szCs w:val="48"/>
        </w:rPr>
        <w:t>Furnace</w:t>
      </w:r>
      <w:proofErr w:type="gramEnd"/>
      <w:r w:rsidRPr="005F7EC9">
        <w:rPr>
          <w:rFonts w:ascii="Arial" w:hAnsi="Arial" w:cs="Arial"/>
          <w:b/>
          <w:sz w:val="48"/>
          <w:szCs w:val="48"/>
        </w:rPr>
        <w:t xml:space="preserve"> - </w:t>
      </w:r>
      <w:proofErr w:type="spellStart"/>
      <w:r w:rsidRPr="005F7EC9">
        <w:rPr>
          <w:rFonts w:ascii="Arial" w:hAnsi="Arial" w:cs="Arial"/>
          <w:b/>
          <w:sz w:val="48"/>
          <w:szCs w:val="48"/>
        </w:rPr>
        <w:t>Nonres</w:t>
      </w:r>
      <w:proofErr w:type="spellEnd"/>
      <w:r w:rsidRPr="005F7EC9">
        <w:rPr>
          <w:rFonts w:ascii="Arial" w:hAnsi="Arial" w:cs="Arial"/>
          <w:b/>
          <w:sz w:val="48"/>
          <w:szCs w:val="48"/>
        </w:rPr>
        <w:t xml:space="preserve">  </w:t>
      </w:r>
    </w:p>
    <w:p w:rsidR="008D627D" w:rsidRPr="002D1C88" w:rsidRDefault="005F7EC9" w:rsidP="005F7EC9">
      <w:pPr>
        <w:jc w:val="right"/>
        <w:rPr>
          <w:rFonts w:ascii="Arial" w:hAnsi="Arial" w:cs="Arial"/>
          <w:b/>
          <w:sz w:val="48"/>
          <w:szCs w:val="48"/>
        </w:rPr>
      </w:pPr>
      <w:r w:rsidRPr="005F7EC9">
        <w:rPr>
          <w:rFonts w:ascii="Arial" w:hAnsi="Arial" w:cs="Arial"/>
          <w:b/>
          <w:sz w:val="48"/>
          <w:szCs w:val="48"/>
        </w:rPr>
        <w:t>Revision #</w:t>
      </w:r>
      <w:bookmarkEnd w:id="2"/>
      <w:r w:rsidRPr="005F7EC9">
        <w:rPr>
          <w:rFonts w:ascii="Arial" w:hAnsi="Arial" w:cs="Arial"/>
          <w:b/>
          <w:sz w:val="48"/>
          <w:szCs w:val="48"/>
        </w:rPr>
        <w:t xml:space="preserve"> </w:t>
      </w:r>
      <w:r w:rsidR="00126C5D">
        <w:rPr>
          <w:rFonts w:ascii="Arial" w:hAnsi="Arial" w:cs="Arial"/>
          <w:b/>
          <w:color w:val="000000"/>
          <w:sz w:val="48"/>
          <w:szCs w:val="48"/>
        </w:rPr>
        <w:t>4</w:t>
      </w:r>
    </w:p>
    <w:p w:rsidR="008D627D" w:rsidRPr="002D1C88" w:rsidRDefault="008D627D" w:rsidP="008D627D"/>
    <w:p w:rsidR="008D627D" w:rsidRDefault="008D627D" w:rsidP="008D627D">
      <w:pPr>
        <w:pBdr>
          <w:bottom w:val="single" w:sz="4" w:space="1" w:color="auto"/>
        </w:pBdr>
        <w:rPr>
          <w:rFonts w:ascii="Arial" w:hAnsi="Arial" w:cs="Arial"/>
          <w:b/>
          <w:sz w:val="36"/>
          <w:szCs w:val="36"/>
        </w:rPr>
      </w:pPr>
    </w:p>
    <w:p w:rsidR="008D627D" w:rsidRDefault="008D627D" w:rsidP="008D627D">
      <w:pPr>
        <w:pBdr>
          <w:bottom w:val="single" w:sz="4" w:space="1" w:color="auto"/>
        </w:pBdr>
        <w:rPr>
          <w:rFonts w:ascii="Arial" w:hAnsi="Arial" w:cs="Arial"/>
          <w:b/>
          <w:sz w:val="36"/>
          <w:szCs w:val="36"/>
        </w:rPr>
      </w:pPr>
    </w:p>
    <w:p w:rsidR="008D627D" w:rsidRPr="002D1C88" w:rsidRDefault="008D627D" w:rsidP="008D627D">
      <w:pPr>
        <w:pBdr>
          <w:bottom w:val="single" w:sz="4" w:space="1" w:color="auto"/>
        </w:pBdr>
        <w:rPr>
          <w:rFonts w:ascii="Arial" w:hAnsi="Arial" w:cs="Arial"/>
          <w:b/>
          <w:sz w:val="36"/>
          <w:szCs w:val="36"/>
        </w:rPr>
      </w:pPr>
      <w:r w:rsidRPr="002D1C88">
        <w:rPr>
          <w:rFonts w:ascii="Arial" w:hAnsi="Arial" w:cs="Arial"/>
          <w:b/>
          <w:sz w:val="36"/>
          <w:szCs w:val="36"/>
        </w:rPr>
        <w:t>Pacific Gas &amp; Electric Company</w:t>
      </w:r>
    </w:p>
    <w:p w:rsidR="008D627D" w:rsidRPr="002D1C88" w:rsidRDefault="008D627D" w:rsidP="008D627D">
      <w:pPr>
        <w:rPr>
          <w:rFonts w:ascii="Arial" w:hAnsi="Arial" w:cs="Arial"/>
          <w:b/>
          <w:sz w:val="32"/>
          <w:szCs w:val="32"/>
        </w:rPr>
      </w:pPr>
      <w:r w:rsidRPr="002D1C88">
        <w:rPr>
          <w:rFonts w:ascii="Arial" w:hAnsi="Arial" w:cs="Arial"/>
          <w:b/>
          <w:sz w:val="32"/>
          <w:szCs w:val="32"/>
        </w:rPr>
        <w:t xml:space="preserve">Customer Energy Solutions </w:t>
      </w:r>
    </w:p>
    <w:p w:rsidR="008D627D" w:rsidRDefault="008D627D" w:rsidP="008D627D">
      <w:pPr>
        <w:ind w:right="-720"/>
        <w:rPr>
          <w:rFonts w:ascii="Arial" w:hAnsi="Arial" w:cs="Arial"/>
          <w:b/>
          <w:sz w:val="72"/>
          <w:szCs w:val="72"/>
        </w:rPr>
      </w:pPr>
    </w:p>
    <w:p w:rsidR="008D627D" w:rsidRDefault="008D627D" w:rsidP="008D627D">
      <w:pPr>
        <w:ind w:right="-720"/>
        <w:rPr>
          <w:rFonts w:ascii="Arial" w:hAnsi="Arial" w:cs="Arial"/>
          <w:b/>
          <w:sz w:val="72"/>
          <w:szCs w:val="72"/>
        </w:rPr>
      </w:pPr>
    </w:p>
    <w:p w:rsidR="005F7EC9" w:rsidRPr="005F7EC9" w:rsidRDefault="005F7EC9" w:rsidP="005F7EC9">
      <w:pPr>
        <w:rPr>
          <w:rFonts w:ascii="Arial" w:hAnsi="Arial" w:cs="Arial"/>
          <w:b/>
          <w:sz w:val="72"/>
          <w:szCs w:val="72"/>
        </w:rPr>
      </w:pPr>
      <w:r w:rsidRPr="005F7EC9">
        <w:rPr>
          <w:rFonts w:ascii="Arial" w:hAnsi="Arial" w:cs="Arial"/>
          <w:b/>
          <w:sz w:val="72"/>
          <w:szCs w:val="72"/>
        </w:rPr>
        <w:t xml:space="preserve">High Efficiency Gas Furnace 95% AFUE </w:t>
      </w:r>
    </w:p>
    <w:p w:rsidR="005F7EC9" w:rsidRPr="005F7EC9" w:rsidRDefault="005F7EC9" w:rsidP="005F7EC9">
      <w:pPr>
        <w:rPr>
          <w:rFonts w:ascii="Arial" w:hAnsi="Arial" w:cs="Arial"/>
          <w:b/>
          <w:sz w:val="72"/>
          <w:szCs w:val="72"/>
        </w:rPr>
      </w:pPr>
      <w:r w:rsidRPr="005F7EC9">
        <w:rPr>
          <w:rFonts w:ascii="Arial" w:hAnsi="Arial" w:cs="Arial"/>
          <w:b/>
          <w:sz w:val="72"/>
          <w:szCs w:val="72"/>
        </w:rPr>
        <w:t>(1.04 HIR) - Nonresidential</w:t>
      </w:r>
    </w:p>
    <w:p w:rsidR="00E071A5" w:rsidRPr="00E3685A" w:rsidRDefault="005F7EC9" w:rsidP="005F7EC9">
      <w:pPr>
        <w:pStyle w:val="Reminders"/>
        <w:rPr>
          <w:rFonts w:asciiTheme="minorHAnsi" w:hAnsiTheme="minorHAnsi" w:cstheme="minorHAnsi"/>
          <w:b/>
          <w:i w:val="0"/>
          <w:sz w:val="28"/>
          <w:szCs w:val="28"/>
        </w:rPr>
        <w:sectPr w:rsidR="00E071A5" w:rsidRPr="00E3685A">
          <w:footerReference w:type="default" r:id="rId13"/>
          <w:pgSz w:w="12240" w:h="15840"/>
          <w:pgMar w:top="1440" w:right="1440" w:bottom="1440" w:left="1440" w:header="720" w:footer="720" w:gutter="0"/>
          <w:cols w:space="720"/>
          <w:docGrid w:linePitch="360"/>
        </w:sectPr>
      </w:pPr>
      <w:r w:rsidRPr="00E3685A">
        <w:rPr>
          <w:rFonts w:ascii="Arial" w:hAnsi="Arial" w:cs="Arial"/>
          <w:b/>
          <w:i w:val="0"/>
          <w:color w:val="auto"/>
          <w:sz w:val="28"/>
          <w:szCs w:val="28"/>
        </w:rPr>
        <w:t>Measure Codes: SA16, SA17</w:t>
      </w:r>
    </w:p>
    <w:p w:rsidR="00290ED8" w:rsidRPr="00397406" w:rsidRDefault="00290ED8" w:rsidP="00AC5309">
      <w:pPr>
        <w:pStyle w:val="Heading1"/>
      </w:pPr>
      <w:bookmarkStart w:id="3" w:name="_Toc304800192"/>
      <w:bookmarkStart w:id="4" w:name="_Toc324318330"/>
      <w:bookmarkStart w:id="5" w:name="_Toc324340474"/>
      <w:bookmarkStart w:id="6" w:name="_Toc324433427"/>
      <w:r w:rsidRPr="00397406">
        <w:lastRenderedPageBreak/>
        <w:t>At-a-Glance Summary</w:t>
      </w:r>
      <w:bookmarkEnd w:id="3"/>
      <w:bookmarkEnd w:id="4"/>
      <w:bookmarkEnd w:id="5"/>
      <w:bookmarkEnd w:id="6"/>
    </w:p>
    <w:tbl>
      <w:tblPr>
        <w:tblStyle w:val="TableContemporary"/>
        <w:tblW w:w="8478" w:type="dxa"/>
        <w:tblLook w:val="01E0" w:firstRow="1" w:lastRow="1" w:firstColumn="1" w:lastColumn="1" w:noHBand="0" w:noVBand="0"/>
      </w:tblPr>
      <w:tblGrid>
        <w:gridCol w:w="2490"/>
        <w:gridCol w:w="2928"/>
        <w:gridCol w:w="3060"/>
      </w:tblGrid>
      <w:tr w:rsidR="003D6A97" w:rsidRPr="00397406" w:rsidTr="003D6A97">
        <w:trPr>
          <w:cnfStyle w:val="100000000000" w:firstRow="1" w:lastRow="0" w:firstColumn="0" w:lastColumn="0" w:oddVBand="0" w:evenVBand="0" w:oddHBand="0" w:evenHBand="0" w:firstRowFirstColumn="0" w:firstRowLastColumn="0" w:lastRowFirstColumn="0" w:lastRowLastColumn="0"/>
          <w:trHeight w:val="465"/>
        </w:trPr>
        <w:tc>
          <w:tcPr>
            <w:tcW w:w="2490" w:type="dxa"/>
          </w:tcPr>
          <w:p w:rsidR="003D6A97" w:rsidRPr="00471AED" w:rsidRDefault="003D6A97" w:rsidP="005729C8">
            <w:pPr>
              <w:rPr>
                <w:rStyle w:val="Strong"/>
                <w:rFonts w:asciiTheme="minorHAnsi" w:hAnsiTheme="minorHAnsi" w:cstheme="minorHAnsi"/>
                <w:szCs w:val="22"/>
              </w:rPr>
            </w:pPr>
            <w:r w:rsidRPr="00471AED">
              <w:rPr>
                <w:rStyle w:val="Strong"/>
                <w:rFonts w:asciiTheme="minorHAnsi" w:hAnsiTheme="minorHAnsi" w:cstheme="minorHAnsi"/>
                <w:szCs w:val="22"/>
              </w:rPr>
              <w:t>Solution and Measure Codes:</w:t>
            </w:r>
          </w:p>
        </w:tc>
        <w:tc>
          <w:tcPr>
            <w:tcW w:w="2928" w:type="dxa"/>
          </w:tcPr>
          <w:p w:rsidR="003D6A97" w:rsidRPr="00471AED" w:rsidRDefault="003D6A97" w:rsidP="005F7EC9">
            <w:pPr>
              <w:rPr>
                <w:rFonts w:asciiTheme="minorHAnsi" w:hAnsiTheme="minorHAnsi" w:cstheme="minorHAnsi"/>
                <w:b w:val="0"/>
                <w:sz w:val="22"/>
                <w:szCs w:val="22"/>
              </w:rPr>
            </w:pPr>
            <w:r w:rsidRPr="00471AED">
              <w:rPr>
                <w:rFonts w:asciiTheme="minorHAnsi" w:hAnsiTheme="minorHAnsi" w:cstheme="minorHAnsi"/>
                <w:b w:val="0"/>
                <w:sz w:val="22"/>
                <w:szCs w:val="22"/>
              </w:rPr>
              <w:t>SA16</w:t>
            </w:r>
          </w:p>
        </w:tc>
        <w:tc>
          <w:tcPr>
            <w:tcW w:w="3060" w:type="dxa"/>
          </w:tcPr>
          <w:p w:rsidR="003D6A97" w:rsidRPr="00471AED" w:rsidRDefault="003D6A97" w:rsidP="005F7EC9">
            <w:pPr>
              <w:rPr>
                <w:rFonts w:asciiTheme="minorHAnsi" w:hAnsiTheme="minorHAnsi" w:cstheme="minorHAnsi"/>
                <w:b w:val="0"/>
                <w:bCs w:val="0"/>
                <w:sz w:val="22"/>
                <w:szCs w:val="22"/>
              </w:rPr>
            </w:pPr>
            <w:r w:rsidRPr="00471AED">
              <w:rPr>
                <w:rFonts w:asciiTheme="minorHAnsi" w:hAnsiTheme="minorHAnsi" w:cstheme="minorHAnsi"/>
                <w:b w:val="0"/>
                <w:sz w:val="22"/>
                <w:szCs w:val="22"/>
              </w:rPr>
              <w:t>SA17</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471AED" w:rsidRDefault="003D6A97"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 xml:space="preserve">Measure Description: </w:t>
            </w:r>
          </w:p>
        </w:tc>
        <w:tc>
          <w:tcPr>
            <w:tcW w:w="2928" w:type="dxa"/>
          </w:tcPr>
          <w:p w:rsidR="003D6A97" w:rsidRPr="00471AED" w:rsidRDefault="003D6A97" w:rsidP="006F70B7">
            <w:pPr>
              <w:rPr>
                <w:rFonts w:asciiTheme="minorHAnsi" w:hAnsiTheme="minorHAnsi" w:cstheme="minorHAnsi"/>
                <w:sz w:val="22"/>
                <w:szCs w:val="22"/>
              </w:rPr>
            </w:pPr>
            <w:r w:rsidRPr="00471AED">
              <w:rPr>
                <w:rFonts w:asciiTheme="minorHAnsi" w:hAnsiTheme="minorHAnsi" w:cstheme="minorHAnsi"/>
                <w:sz w:val="22"/>
                <w:szCs w:val="22"/>
              </w:rPr>
              <w:t>Central natural gas furnace rated at 95% AFUE, with built-in variable speed motor (VSM)</w:t>
            </w:r>
          </w:p>
        </w:tc>
        <w:tc>
          <w:tcPr>
            <w:tcW w:w="3060" w:type="dxa"/>
          </w:tcPr>
          <w:p w:rsidR="003D6A97" w:rsidRPr="00471AED" w:rsidRDefault="003D6A97" w:rsidP="006F70B7">
            <w:pPr>
              <w:rPr>
                <w:rFonts w:asciiTheme="minorHAnsi" w:hAnsiTheme="minorHAnsi" w:cstheme="minorHAnsi"/>
                <w:sz w:val="22"/>
                <w:szCs w:val="22"/>
              </w:rPr>
            </w:pPr>
            <w:r w:rsidRPr="00471AED">
              <w:rPr>
                <w:rFonts w:asciiTheme="minorHAnsi" w:hAnsiTheme="minorHAnsi" w:cstheme="minorHAnsi"/>
                <w:sz w:val="22"/>
                <w:szCs w:val="22"/>
              </w:rPr>
              <w:t>Central natural gas furnace rated at 95% AFUE, without built-in variable speed motor (VSM)</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Base Case Description:</w:t>
            </w:r>
          </w:p>
        </w:tc>
        <w:tc>
          <w:tcPr>
            <w:tcW w:w="5988" w:type="dxa"/>
            <w:gridSpan w:val="2"/>
          </w:tcPr>
          <w:p w:rsidR="008D627D"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Non-residential base case gas furnace meeting 2015 federal standard requirements of 81% AFUE for weatherized furnaces.</w:t>
            </w:r>
          </w:p>
        </w:tc>
      </w:tr>
      <w:tr w:rsidR="008D627D" w:rsidRPr="00397406" w:rsidTr="003D6A97">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Units:</w:t>
            </w:r>
          </w:p>
        </w:tc>
        <w:tc>
          <w:tcPr>
            <w:tcW w:w="5988" w:type="dxa"/>
            <w:gridSpan w:val="2"/>
          </w:tcPr>
          <w:p w:rsidR="008D627D" w:rsidRPr="00471AED" w:rsidRDefault="003F24F4" w:rsidP="005729C8">
            <w:pPr>
              <w:rPr>
                <w:rFonts w:asciiTheme="minorHAnsi" w:hAnsiTheme="minorHAnsi" w:cstheme="minorHAnsi"/>
                <w:sz w:val="22"/>
                <w:szCs w:val="22"/>
              </w:rPr>
            </w:pPr>
            <w:r>
              <w:rPr>
                <w:rFonts w:asciiTheme="minorHAnsi" w:hAnsiTheme="minorHAnsi" w:cstheme="minorHAnsi"/>
                <w:sz w:val="22"/>
                <w:szCs w:val="22"/>
              </w:rPr>
              <w:t>Per furnace</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1"/>
                <w:rFonts w:asciiTheme="minorHAnsi" w:hAnsiTheme="minorHAnsi" w:cstheme="minorHAnsi"/>
                <w:b w:val="0"/>
                <w:sz w:val="22"/>
                <w:szCs w:val="22"/>
              </w:rPr>
            </w:pPr>
            <w:r w:rsidRPr="00471AED">
              <w:rPr>
                <w:rStyle w:val="Strong"/>
                <w:rFonts w:asciiTheme="minorHAnsi" w:hAnsiTheme="minorHAnsi" w:cstheme="minorHAnsi"/>
                <w:b w:val="0"/>
                <w:szCs w:val="22"/>
              </w:rPr>
              <w:t>Energy Savings:</w:t>
            </w:r>
          </w:p>
        </w:tc>
        <w:tc>
          <w:tcPr>
            <w:tcW w:w="5988" w:type="dxa"/>
            <w:gridSpan w:val="2"/>
          </w:tcPr>
          <w:p w:rsidR="008D627D" w:rsidRPr="00471AED" w:rsidRDefault="008D627D" w:rsidP="005729C8">
            <w:pPr>
              <w:rPr>
                <w:rFonts w:asciiTheme="minorHAnsi" w:hAnsiTheme="minorHAnsi" w:cstheme="minorHAnsi"/>
                <w:sz w:val="22"/>
                <w:szCs w:val="22"/>
              </w:rPr>
            </w:pPr>
            <w:r w:rsidRPr="00471AED">
              <w:rPr>
                <w:rFonts w:asciiTheme="minorHAnsi" w:hAnsiTheme="minorHAnsi" w:cstheme="minorHAnsi"/>
                <w:sz w:val="22"/>
                <w:szCs w:val="22"/>
              </w:rPr>
              <w:t>Refer to Excel Calculation Attachment</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Gross Measure Cost ($/unit):</w:t>
            </w:r>
          </w:p>
        </w:tc>
        <w:tc>
          <w:tcPr>
            <w:tcW w:w="5988" w:type="dxa"/>
            <w:gridSpan w:val="2"/>
          </w:tcPr>
          <w:p w:rsidR="008D627D" w:rsidRPr="00471AED" w:rsidRDefault="008D627D" w:rsidP="005729C8">
            <w:pPr>
              <w:rPr>
                <w:rFonts w:asciiTheme="minorHAnsi" w:hAnsiTheme="minorHAnsi" w:cstheme="minorHAnsi"/>
                <w:sz w:val="22"/>
                <w:szCs w:val="22"/>
              </w:rPr>
            </w:pPr>
            <w:r w:rsidRPr="00471AED">
              <w:rPr>
                <w:rFonts w:asciiTheme="minorHAnsi" w:hAnsiTheme="minorHAnsi" w:cstheme="minorHAnsi"/>
                <w:sz w:val="22"/>
                <w:szCs w:val="22"/>
              </w:rPr>
              <w:t>Refer to Excel Calculation Attachment</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 xml:space="preserve">Measure Incremental Cost ($/unit): </w:t>
            </w:r>
          </w:p>
        </w:tc>
        <w:tc>
          <w:tcPr>
            <w:tcW w:w="5988" w:type="dxa"/>
            <w:gridSpan w:val="2"/>
          </w:tcPr>
          <w:p w:rsidR="008D627D" w:rsidRPr="00471AED" w:rsidRDefault="008D627D" w:rsidP="005729C8">
            <w:pPr>
              <w:rPr>
                <w:rFonts w:asciiTheme="minorHAnsi" w:hAnsiTheme="minorHAnsi" w:cstheme="minorHAnsi"/>
                <w:sz w:val="22"/>
                <w:szCs w:val="22"/>
              </w:rPr>
            </w:pPr>
            <w:r w:rsidRPr="00471AED">
              <w:rPr>
                <w:rFonts w:asciiTheme="minorHAnsi" w:hAnsiTheme="minorHAnsi" w:cstheme="minorHAnsi"/>
                <w:sz w:val="22"/>
                <w:szCs w:val="22"/>
              </w:rPr>
              <w:t>Refer to Excel Calculation Attachment</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471AED" w:rsidRDefault="003D6A97"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Effective Useful Life:</w:t>
            </w:r>
          </w:p>
        </w:tc>
        <w:tc>
          <w:tcPr>
            <w:tcW w:w="2928" w:type="dxa"/>
          </w:tcPr>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Source: DEER2014</w:t>
            </w:r>
          </w:p>
          <w:p w:rsidR="003D6A97" w:rsidRPr="00471AED" w:rsidRDefault="00923DDA" w:rsidP="003D6A97">
            <w:pPr>
              <w:rPr>
                <w:rFonts w:asciiTheme="minorHAnsi" w:hAnsiTheme="minorHAnsi" w:cstheme="minorHAnsi"/>
                <w:sz w:val="22"/>
                <w:szCs w:val="22"/>
              </w:rPr>
            </w:pPr>
            <w:r>
              <w:rPr>
                <w:rFonts w:asciiTheme="minorHAnsi" w:hAnsiTheme="minorHAnsi" w:cstheme="minorHAnsi"/>
                <w:sz w:val="22"/>
                <w:szCs w:val="22"/>
              </w:rPr>
              <w:t>20 Years</w:t>
            </w:r>
          </w:p>
        </w:tc>
        <w:tc>
          <w:tcPr>
            <w:tcW w:w="3060" w:type="dxa"/>
          </w:tcPr>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Source: DEER2014</w:t>
            </w:r>
          </w:p>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20 years</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Measure Application Type:</w:t>
            </w:r>
          </w:p>
        </w:tc>
        <w:tc>
          <w:tcPr>
            <w:tcW w:w="5988" w:type="dxa"/>
            <w:gridSpan w:val="2"/>
          </w:tcPr>
          <w:p w:rsidR="008D627D" w:rsidRPr="00471AED" w:rsidRDefault="005E500F" w:rsidP="005729C8">
            <w:pPr>
              <w:rPr>
                <w:rFonts w:asciiTheme="minorHAnsi" w:hAnsiTheme="minorHAnsi" w:cstheme="minorHAnsi"/>
                <w:sz w:val="22"/>
                <w:szCs w:val="22"/>
              </w:rPr>
            </w:pPr>
            <w:r>
              <w:rPr>
                <w:rFonts w:asciiTheme="minorHAnsi" w:hAnsiTheme="minorHAnsi" w:cstheme="minorHAnsi"/>
                <w:sz w:val="22"/>
                <w:szCs w:val="22"/>
              </w:rPr>
              <w:t>ROB</w:t>
            </w:r>
            <w:r w:rsidR="00E97CFA">
              <w:rPr>
                <w:rFonts w:asciiTheme="minorHAnsi" w:hAnsiTheme="minorHAnsi" w:cstheme="minorHAnsi"/>
                <w:sz w:val="22"/>
                <w:szCs w:val="22"/>
              </w:rPr>
              <w:t xml:space="preserve"> and NC</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 xml:space="preserve">Net-to-Gross Ratio: </w:t>
            </w:r>
          </w:p>
        </w:tc>
        <w:tc>
          <w:tcPr>
            <w:tcW w:w="5988" w:type="dxa"/>
            <w:gridSpan w:val="2"/>
          </w:tcPr>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Source: DEER2011 NTGR values for ‘Default Commercial &gt; 2 years’</w:t>
            </w:r>
          </w:p>
          <w:p w:rsidR="008D627D"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NTG: 0.60</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Important Comments:</w:t>
            </w:r>
          </w:p>
        </w:tc>
        <w:tc>
          <w:tcPr>
            <w:tcW w:w="5988" w:type="dxa"/>
            <w:gridSpan w:val="2"/>
          </w:tcPr>
          <w:p w:rsidR="008D627D" w:rsidRPr="00471AED" w:rsidRDefault="008D627D" w:rsidP="005729C8">
            <w:pPr>
              <w:rPr>
                <w:rFonts w:asciiTheme="minorHAnsi" w:hAnsiTheme="minorHAnsi" w:cstheme="minorHAnsi"/>
                <w:sz w:val="22"/>
                <w:szCs w:val="22"/>
              </w:rPr>
            </w:pPr>
          </w:p>
        </w:tc>
      </w:tr>
    </w:tbl>
    <w:p w:rsidR="00AC5309" w:rsidRPr="00397406" w:rsidRDefault="00AC5309">
      <w:pPr>
        <w:spacing w:after="200" w:line="276" w:lineRule="auto"/>
        <w:rPr>
          <w:rFonts w:cstheme="minorHAnsi"/>
          <w:b/>
          <w:bCs/>
          <w:smallCaps/>
          <w:kern w:val="32"/>
          <w:sz w:val="36"/>
          <w:szCs w:val="32"/>
        </w:rPr>
      </w:pPr>
    </w:p>
    <w:p w:rsidR="00AC5309" w:rsidRPr="00397406" w:rsidRDefault="00AC5309">
      <w:pPr>
        <w:spacing w:after="200" w:line="276" w:lineRule="auto"/>
        <w:rPr>
          <w:rFonts w:cstheme="minorHAnsi"/>
          <w:b/>
          <w:bCs/>
          <w:smallCaps/>
          <w:kern w:val="32"/>
          <w:sz w:val="36"/>
          <w:szCs w:val="32"/>
        </w:rPr>
      </w:pPr>
      <w:r w:rsidRPr="00397406">
        <w:rPr>
          <w:rFonts w:cstheme="minorHAnsi"/>
          <w:b/>
          <w:bCs/>
          <w:smallCaps/>
          <w:kern w:val="32"/>
          <w:sz w:val="36"/>
          <w:szCs w:val="32"/>
        </w:rPr>
        <w:br w:type="page"/>
      </w:r>
    </w:p>
    <w:p w:rsidR="00EB34FC" w:rsidRPr="00397406" w:rsidRDefault="00EB34FC" w:rsidP="00933188">
      <w:pPr>
        <w:pStyle w:val="Heading1"/>
      </w:pPr>
      <w:r w:rsidRPr="00397406">
        <w:lastRenderedPageBreak/>
        <w:t>Document Revision History</w:t>
      </w:r>
    </w:p>
    <w:tbl>
      <w:tblPr>
        <w:tblStyle w:val="TableContemporary"/>
        <w:tblW w:w="5098" w:type="pct"/>
        <w:tblLayout w:type="fixed"/>
        <w:tblLook w:val="01E0" w:firstRow="1" w:lastRow="1" w:firstColumn="1" w:lastColumn="1" w:noHBand="0" w:noVBand="0"/>
      </w:tblPr>
      <w:tblGrid>
        <w:gridCol w:w="1277"/>
        <w:gridCol w:w="1447"/>
        <w:gridCol w:w="1890"/>
        <w:gridCol w:w="5150"/>
      </w:tblGrid>
      <w:tr w:rsidR="00933188" w:rsidRPr="00397406" w:rsidTr="006135CC">
        <w:trPr>
          <w:cnfStyle w:val="100000000000" w:firstRow="1" w:lastRow="0" w:firstColumn="0" w:lastColumn="0" w:oddVBand="0" w:evenVBand="0" w:oddHBand="0" w:evenHBand="0" w:firstRowFirstColumn="0" w:firstRowLastColumn="0" w:lastRowFirstColumn="0" w:lastRowLastColumn="0"/>
          <w:trHeight w:val="298"/>
        </w:trPr>
        <w:tc>
          <w:tcPr>
            <w:tcW w:w="654"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w:t>
            </w:r>
          </w:p>
        </w:tc>
        <w:tc>
          <w:tcPr>
            <w:tcW w:w="741"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Date</w:t>
            </w:r>
          </w:p>
        </w:tc>
        <w:tc>
          <w:tcPr>
            <w:tcW w:w="968"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Author (Affiliation)</w:t>
            </w:r>
          </w:p>
        </w:tc>
        <w:tc>
          <w:tcPr>
            <w:tcW w:w="2637"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Summary of Changes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5/26/2012</w:t>
            </w:r>
          </w:p>
        </w:tc>
        <w:tc>
          <w:tcPr>
            <w:tcW w:w="968" w:type="pct"/>
          </w:tcPr>
          <w:p w:rsidR="006135CC" w:rsidRPr="00471AED" w:rsidRDefault="006135CC" w:rsidP="006135CC">
            <w:pPr>
              <w:jc w:val="center"/>
              <w:rPr>
                <w:rFonts w:asciiTheme="minorHAnsi" w:hAnsiTheme="minorHAnsi" w:cstheme="minorHAnsi"/>
                <w:bCs/>
                <w:sz w:val="22"/>
                <w:szCs w:val="22"/>
              </w:rPr>
            </w:pPr>
            <w:r w:rsidRPr="00471AED">
              <w:rPr>
                <w:rFonts w:asciiTheme="minorHAnsi" w:hAnsiTheme="minorHAnsi" w:cstheme="minorHAnsi"/>
                <w:bCs/>
                <w:sz w:val="22"/>
                <w:szCs w:val="22"/>
              </w:rPr>
              <w:t xml:space="preserve">Matt </w:t>
            </w:r>
            <w:proofErr w:type="spellStart"/>
            <w:r w:rsidRPr="00471AED">
              <w:rPr>
                <w:rFonts w:asciiTheme="minorHAnsi" w:hAnsiTheme="minorHAnsi" w:cstheme="minorHAnsi"/>
                <w:bCs/>
                <w:sz w:val="22"/>
                <w:szCs w:val="22"/>
              </w:rPr>
              <w:t>Zwiesler</w:t>
            </w:r>
            <w:proofErr w:type="spellEnd"/>
            <w:r w:rsidRPr="00471AED">
              <w:rPr>
                <w:rFonts w:asciiTheme="minorHAnsi" w:hAnsiTheme="minorHAnsi" w:cstheme="minorHAnsi"/>
                <w:bCs/>
                <w:sz w:val="22"/>
                <w:szCs w:val="22"/>
              </w:rPr>
              <w:t xml:space="preserve"> (kW Engineering),</w:t>
            </w:r>
          </w:p>
          <w:p w:rsidR="006135CC" w:rsidRPr="00471AED" w:rsidRDefault="006135CC" w:rsidP="006135CC">
            <w:pPr>
              <w:rPr>
                <w:rFonts w:asciiTheme="minorHAnsi" w:hAnsiTheme="minorHAnsi" w:cstheme="minorHAnsi"/>
                <w:bCs/>
                <w:sz w:val="22"/>
                <w:szCs w:val="22"/>
              </w:rPr>
            </w:pPr>
            <w:r w:rsidRPr="00471AED">
              <w:rPr>
                <w:rFonts w:asciiTheme="minorHAnsi" w:hAnsiTheme="minorHAnsi" w:cstheme="minorHAnsi"/>
                <w:bCs/>
                <w:sz w:val="22"/>
                <w:szCs w:val="22"/>
              </w:rPr>
              <w:t>Judy Jennings (PG&amp;E)</w:t>
            </w:r>
          </w:p>
        </w:tc>
        <w:tc>
          <w:tcPr>
            <w:tcW w:w="2637" w:type="pct"/>
          </w:tcPr>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Based new work paper on HVC124 94 AFUE Furnace</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Revised calculations and costs from baseline 78 AFUE to 80 AFUE and proposed 94 AFUE to 95 AFUE using scaling factor</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 xml:space="preserve">Revised assumption of average input capacity furnace size from 90,000 Btu/h (based on GAMA 2005 report) to 80,000 Btu/h (based on </w:t>
            </w:r>
            <w:proofErr w:type="gramStart"/>
            <w:r w:rsidRPr="00471AED">
              <w:rPr>
                <w:rFonts w:asciiTheme="minorHAnsi" w:hAnsiTheme="minorHAnsi" w:cstheme="minorHAnsi"/>
                <w:sz w:val="22"/>
                <w:szCs w:val="22"/>
              </w:rPr>
              <w:t>DOE  10</w:t>
            </w:r>
            <w:proofErr w:type="gramEnd"/>
            <w:r w:rsidRPr="00471AED">
              <w:rPr>
                <w:rFonts w:asciiTheme="minorHAnsi" w:hAnsiTheme="minorHAnsi" w:cstheme="minorHAnsi"/>
                <w:sz w:val="22"/>
                <w:szCs w:val="22"/>
              </w:rPr>
              <w:t xml:space="preserve"> CFR Part 430 Report dated June 27, 2011</w:t>
            </w:r>
            <w:r w:rsidRPr="00471AED">
              <w:rPr>
                <w:rFonts w:cstheme="minorHAnsi"/>
                <w:szCs w:val="22"/>
              </w:rPr>
              <w:fldChar w:fldCharType="begin"/>
            </w:r>
            <w:r w:rsidRPr="00471AED">
              <w:rPr>
                <w:rFonts w:asciiTheme="minorHAnsi" w:hAnsiTheme="minorHAnsi" w:cstheme="minorHAnsi"/>
                <w:sz w:val="22"/>
                <w:szCs w:val="22"/>
              </w:rPr>
              <w:instrText xml:space="preserve"> NOTEREF _Ref326326397 \h  \* MERGEFORMAT </w:instrText>
            </w:r>
            <w:r w:rsidRPr="00471AED">
              <w:rPr>
                <w:rFonts w:cstheme="minorHAnsi"/>
                <w:szCs w:val="22"/>
              </w:rPr>
            </w:r>
            <w:r w:rsidRPr="00471AED">
              <w:rPr>
                <w:rFonts w:cstheme="minorHAnsi"/>
                <w:szCs w:val="22"/>
              </w:rPr>
              <w:fldChar w:fldCharType="separate"/>
            </w:r>
            <w:r w:rsidR="00864B9E">
              <w:rPr>
                <w:rFonts w:cstheme="minorHAnsi"/>
                <w:b/>
                <w:bCs/>
                <w:szCs w:val="22"/>
              </w:rPr>
              <w:t>Error! Bookmark not defined.</w:t>
            </w:r>
            <w:r w:rsidRPr="00471AED">
              <w:rPr>
                <w:rFonts w:cstheme="minorHAnsi"/>
                <w:szCs w:val="22"/>
              </w:rPr>
              <w:fldChar w:fldCharType="end"/>
            </w:r>
            <w:r w:rsidRPr="00471AED">
              <w:rPr>
                <w:rFonts w:asciiTheme="minorHAnsi" w:hAnsiTheme="minorHAnsi" w:cstheme="minorHAnsi"/>
                <w:sz w:val="22"/>
                <w:szCs w:val="22"/>
              </w:rPr>
              <w:t>)</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Updated to DEER 2011 savings and cost values</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Changed work paper name and measure code</w:t>
            </w: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8/29/2012</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Judith Jennings (PG&amp;E)</w:t>
            </w:r>
          </w:p>
        </w:tc>
        <w:tc>
          <w:tcPr>
            <w:tcW w:w="2637" w:type="pct"/>
          </w:tcPr>
          <w:p w:rsidR="006135CC" w:rsidRPr="00471AED" w:rsidRDefault="006135CC" w:rsidP="006135CC">
            <w:pPr>
              <w:pStyle w:val="ListParagraph"/>
              <w:numPr>
                <w:ilvl w:val="0"/>
                <w:numId w:val="14"/>
              </w:numPr>
              <w:contextualSpacing w:val="0"/>
              <w:rPr>
                <w:rFonts w:asciiTheme="minorHAnsi" w:hAnsiTheme="minorHAnsi" w:cstheme="minorHAnsi"/>
                <w:sz w:val="22"/>
                <w:szCs w:val="22"/>
              </w:rPr>
            </w:pPr>
            <w:r w:rsidRPr="00471AED">
              <w:rPr>
                <w:rFonts w:asciiTheme="minorHAnsi" w:hAnsiTheme="minorHAnsi" w:cstheme="minorHAnsi"/>
                <w:sz w:val="22"/>
                <w:szCs w:val="22"/>
              </w:rPr>
              <w:t>Added OTR description in AAG summary and section 2</w:t>
            </w:r>
            <w:r w:rsidRPr="00471AED">
              <w:rPr>
                <w:rFonts w:asciiTheme="minorHAnsi" w:hAnsiTheme="minorHAnsi" w:cstheme="minorHAnsi"/>
                <w:color w:val="000000"/>
                <w:sz w:val="22"/>
                <w:szCs w:val="22"/>
              </w:rPr>
              <w:t xml:space="preserve"> fixed ROB, units, vintages, GRR, cover and footnote dates, reformatted AAG measure list, fixed misc. errors. Removed embedded files. Updated table of contents and list of figures.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sz w:val="22"/>
                <w:szCs w:val="22"/>
              </w:rPr>
              <w:t>Revision 1</w:t>
            </w:r>
          </w:p>
        </w:tc>
        <w:tc>
          <w:tcPr>
            <w:tcW w:w="741"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bCs/>
                <w:sz w:val="22"/>
                <w:szCs w:val="22"/>
              </w:rPr>
              <w:t>5/27/2014</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6135CC">
            <w:pPr>
              <w:pStyle w:val="ListParagraph"/>
              <w:numPr>
                <w:ilvl w:val="0"/>
                <w:numId w:val="15"/>
              </w:numPr>
              <w:contextualSpacing w:val="0"/>
              <w:rPr>
                <w:rFonts w:asciiTheme="minorHAnsi" w:hAnsiTheme="minorHAnsi" w:cstheme="minorHAnsi"/>
                <w:sz w:val="22"/>
                <w:szCs w:val="22"/>
              </w:rPr>
            </w:pPr>
            <w:r w:rsidRPr="00471AED">
              <w:rPr>
                <w:rFonts w:asciiTheme="minorHAnsi" w:hAnsiTheme="minorHAnsi" w:cstheme="minorHAnsi"/>
                <w:bCs/>
                <w:sz w:val="22"/>
                <w:szCs w:val="22"/>
              </w:rPr>
              <w:t>Update impact savings based on new 2013 Title 24 CEC weather files.</w:t>
            </w:r>
          </w:p>
          <w:p w:rsidR="006135CC" w:rsidRPr="00471AED" w:rsidRDefault="006135CC" w:rsidP="005729C8">
            <w:pPr>
              <w:rPr>
                <w:rFonts w:asciiTheme="minorHAnsi" w:hAnsiTheme="minorHAnsi" w:cstheme="minorHAnsi"/>
                <w:bCs/>
                <w:sz w:val="22"/>
                <w:szCs w:val="22"/>
              </w:rPr>
            </w:pP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6F70B7">
            <w:pPr>
              <w:rPr>
                <w:rFonts w:asciiTheme="minorHAnsi" w:hAnsiTheme="minorHAnsi" w:cstheme="minorHAnsi"/>
                <w:sz w:val="22"/>
                <w:szCs w:val="22"/>
              </w:rPr>
            </w:pPr>
            <w:r w:rsidRPr="00471AED">
              <w:rPr>
                <w:rFonts w:asciiTheme="minorHAnsi" w:hAnsiTheme="minorHAnsi" w:cstheme="minorHAnsi"/>
                <w:sz w:val="22"/>
                <w:szCs w:val="22"/>
              </w:rPr>
              <w:t>Revision 2</w:t>
            </w:r>
          </w:p>
        </w:tc>
        <w:tc>
          <w:tcPr>
            <w:tcW w:w="741" w:type="pct"/>
          </w:tcPr>
          <w:p w:rsidR="006135CC" w:rsidRPr="00471AED" w:rsidRDefault="006135CC" w:rsidP="000B3F62">
            <w:pPr>
              <w:rPr>
                <w:rFonts w:asciiTheme="minorHAnsi" w:hAnsiTheme="minorHAnsi" w:cstheme="minorHAnsi"/>
                <w:sz w:val="22"/>
                <w:szCs w:val="22"/>
              </w:rPr>
            </w:pPr>
            <w:r w:rsidRPr="00471AED">
              <w:rPr>
                <w:rFonts w:asciiTheme="minorHAnsi" w:hAnsiTheme="minorHAnsi" w:cstheme="minorHAnsi"/>
                <w:sz w:val="22"/>
                <w:szCs w:val="22"/>
              </w:rPr>
              <w:t>12/0</w:t>
            </w:r>
            <w:r w:rsidR="000B3F62">
              <w:rPr>
                <w:rFonts w:asciiTheme="minorHAnsi" w:hAnsiTheme="minorHAnsi" w:cstheme="minorHAnsi"/>
                <w:sz w:val="22"/>
                <w:szCs w:val="22"/>
              </w:rPr>
              <w:t>8</w:t>
            </w:r>
            <w:r w:rsidRPr="00471AED">
              <w:rPr>
                <w:rFonts w:asciiTheme="minorHAnsi" w:hAnsiTheme="minorHAnsi" w:cstheme="minorHAnsi"/>
                <w:sz w:val="22"/>
                <w:szCs w:val="22"/>
              </w:rPr>
              <w:t>/14</w:t>
            </w:r>
          </w:p>
        </w:tc>
        <w:tc>
          <w:tcPr>
            <w:tcW w:w="968" w:type="pct"/>
          </w:tcPr>
          <w:p w:rsidR="006135CC" w:rsidRPr="00471AED" w:rsidRDefault="006135CC" w:rsidP="005729C8">
            <w:pPr>
              <w:rPr>
                <w:rFonts w:asciiTheme="minorHAnsi" w:hAnsiTheme="minorHAnsi" w:cstheme="minorHAnsi"/>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0407BD">
            <w:pPr>
              <w:pStyle w:val="ListParagraph"/>
              <w:numPr>
                <w:ilvl w:val="0"/>
                <w:numId w:val="16"/>
              </w:numPr>
              <w:rPr>
                <w:rFonts w:asciiTheme="minorHAnsi" w:hAnsiTheme="minorHAnsi" w:cstheme="minorHAnsi"/>
                <w:bCs/>
                <w:sz w:val="22"/>
                <w:szCs w:val="22"/>
              </w:rPr>
            </w:pPr>
            <w:r w:rsidRPr="00471AED">
              <w:rPr>
                <w:rFonts w:asciiTheme="minorHAnsi" w:hAnsiTheme="minorHAnsi" w:cstheme="minorHAnsi"/>
                <w:bCs/>
                <w:sz w:val="22"/>
                <w:szCs w:val="22"/>
              </w:rPr>
              <w:t xml:space="preserve">Update impact savings to reflect new federal code baseline equipment of 81% AFUE for weatherized furnaces. </w:t>
            </w:r>
          </w:p>
        </w:tc>
      </w:tr>
      <w:tr w:rsidR="00923DDA"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923DDA" w:rsidRPr="00471AED" w:rsidRDefault="00923DDA" w:rsidP="00126C5D">
            <w:pPr>
              <w:rPr>
                <w:rFonts w:asciiTheme="minorHAnsi" w:hAnsiTheme="minorHAnsi" w:cstheme="minorHAnsi"/>
                <w:sz w:val="22"/>
                <w:szCs w:val="22"/>
              </w:rPr>
            </w:pPr>
            <w:r>
              <w:rPr>
                <w:rFonts w:asciiTheme="minorHAnsi" w:hAnsiTheme="minorHAnsi" w:cstheme="minorHAnsi"/>
                <w:sz w:val="22"/>
                <w:szCs w:val="22"/>
              </w:rPr>
              <w:t>Revision 3</w:t>
            </w:r>
          </w:p>
        </w:tc>
        <w:tc>
          <w:tcPr>
            <w:tcW w:w="741" w:type="pct"/>
          </w:tcPr>
          <w:p w:rsidR="00923DDA" w:rsidRPr="00471AED" w:rsidRDefault="00923DDA" w:rsidP="00126C5D">
            <w:pPr>
              <w:rPr>
                <w:rFonts w:asciiTheme="minorHAnsi" w:hAnsiTheme="minorHAnsi" w:cstheme="minorHAnsi"/>
                <w:sz w:val="22"/>
                <w:szCs w:val="22"/>
              </w:rPr>
            </w:pPr>
            <w:r>
              <w:rPr>
                <w:rFonts w:asciiTheme="minorHAnsi" w:hAnsiTheme="minorHAnsi" w:cstheme="minorHAnsi"/>
                <w:sz w:val="22"/>
                <w:szCs w:val="22"/>
              </w:rPr>
              <w:t>1/1/2016</w:t>
            </w:r>
          </w:p>
        </w:tc>
        <w:tc>
          <w:tcPr>
            <w:tcW w:w="968" w:type="pct"/>
          </w:tcPr>
          <w:p w:rsidR="00923DDA" w:rsidRDefault="00923DDA" w:rsidP="00126C5D">
            <w:pPr>
              <w:rPr>
                <w:rFonts w:asciiTheme="minorHAnsi" w:hAnsiTheme="minorHAnsi" w:cstheme="minorHAnsi"/>
                <w:bCs/>
                <w:sz w:val="22"/>
                <w:szCs w:val="22"/>
              </w:rPr>
            </w:pPr>
            <w:r>
              <w:rPr>
                <w:rFonts w:asciiTheme="minorHAnsi" w:hAnsiTheme="minorHAnsi" w:cstheme="minorHAnsi"/>
                <w:bCs/>
                <w:sz w:val="22"/>
                <w:szCs w:val="22"/>
              </w:rPr>
              <w:t>Henry Liu</w:t>
            </w:r>
          </w:p>
          <w:p w:rsidR="00923DDA" w:rsidRPr="00471AED" w:rsidRDefault="00923DDA" w:rsidP="00126C5D">
            <w:pPr>
              <w:rPr>
                <w:rFonts w:asciiTheme="minorHAnsi" w:hAnsiTheme="minorHAnsi" w:cstheme="minorHAnsi"/>
                <w:sz w:val="22"/>
                <w:szCs w:val="22"/>
              </w:rPr>
            </w:pPr>
            <w:r w:rsidRPr="00471AED">
              <w:rPr>
                <w:rFonts w:asciiTheme="minorHAnsi" w:hAnsiTheme="minorHAnsi" w:cstheme="minorHAnsi"/>
                <w:bCs/>
                <w:sz w:val="22"/>
                <w:szCs w:val="22"/>
              </w:rPr>
              <w:t>(PG&amp;E)</w:t>
            </w:r>
          </w:p>
        </w:tc>
        <w:tc>
          <w:tcPr>
            <w:tcW w:w="2637" w:type="pct"/>
          </w:tcPr>
          <w:p w:rsidR="0094263A" w:rsidRPr="00707B8D" w:rsidRDefault="0094263A" w:rsidP="0094263A">
            <w:pPr>
              <w:pStyle w:val="ListParagraph"/>
              <w:numPr>
                <w:ilvl w:val="0"/>
                <w:numId w:val="16"/>
              </w:numPr>
              <w:rPr>
                <w:rFonts w:asciiTheme="minorHAnsi" w:hAnsiTheme="minorHAnsi" w:cstheme="minorHAnsi"/>
                <w:bCs/>
                <w:sz w:val="22"/>
                <w:szCs w:val="22"/>
              </w:rPr>
            </w:pPr>
            <w:r w:rsidRPr="00707B8D">
              <w:rPr>
                <w:rFonts w:asciiTheme="minorHAnsi" w:hAnsiTheme="minorHAnsi" w:cstheme="minorHAnsi"/>
                <w:bCs/>
                <w:sz w:val="22"/>
                <w:szCs w:val="22"/>
              </w:rPr>
              <w:t>Updated ex-ante format.</w:t>
            </w:r>
          </w:p>
          <w:p w:rsidR="00923DDA" w:rsidRPr="00471AED" w:rsidRDefault="0094263A" w:rsidP="0094263A">
            <w:pPr>
              <w:pStyle w:val="ListParagraph"/>
              <w:numPr>
                <w:ilvl w:val="0"/>
                <w:numId w:val="16"/>
              </w:numPr>
              <w:rPr>
                <w:rFonts w:asciiTheme="minorHAnsi" w:hAnsiTheme="minorHAnsi" w:cstheme="minorHAnsi"/>
                <w:bCs/>
                <w:sz w:val="22"/>
                <w:szCs w:val="22"/>
              </w:rPr>
            </w:pPr>
            <w:r w:rsidRPr="00707B8D">
              <w:rPr>
                <w:rFonts w:asciiTheme="minorHAnsi" w:hAnsiTheme="minorHAnsi" w:cstheme="minorHAnsi"/>
                <w:bCs/>
                <w:sz w:val="22"/>
                <w:szCs w:val="22"/>
              </w:rPr>
              <w:t>Updated costs from WO017.</w:t>
            </w:r>
          </w:p>
        </w:tc>
      </w:tr>
      <w:tr w:rsidR="00126C5D"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126C5D" w:rsidRPr="00126C5D" w:rsidRDefault="00126C5D" w:rsidP="00126C5D">
            <w:pPr>
              <w:rPr>
                <w:rFonts w:asciiTheme="minorHAnsi" w:hAnsiTheme="minorHAnsi" w:cstheme="minorHAnsi"/>
                <w:sz w:val="22"/>
                <w:szCs w:val="22"/>
              </w:rPr>
            </w:pPr>
            <w:r w:rsidRPr="00126C5D">
              <w:rPr>
                <w:rFonts w:asciiTheme="minorHAnsi" w:hAnsiTheme="minorHAnsi" w:cstheme="minorHAnsi"/>
                <w:sz w:val="22"/>
                <w:szCs w:val="22"/>
              </w:rPr>
              <w:t>Revision 4</w:t>
            </w:r>
          </w:p>
        </w:tc>
        <w:tc>
          <w:tcPr>
            <w:tcW w:w="741" w:type="pct"/>
          </w:tcPr>
          <w:p w:rsidR="00126C5D" w:rsidRPr="00126C5D" w:rsidRDefault="00126C5D" w:rsidP="00126C5D">
            <w:pPr>
              <w:rPr>
                <w:rFonts w:asciiTheme="minorHAnsi" w:hAnsiTheme="minorHAnsi" w:cstheme="minorHAnsi"/>
                <w:sz w:val="22"/>
                <w:szCs w:val="22"/>
              </w:rPr>
            </w:pPr>
            <w:r w:rsidRPr="00126C5D">
              <w:rPr>
                <w:rFonts w:asciiTheme="minorHAnsi" w:hAnsiTheme="minorHAnsi" w:cstheme="minorHAnsi"/>
                <w:sz w:val="22"/>
                <w:szCs w:val="22"/>
              </w:rPr>
              <w:t>1/1/2017</w:t>
            </w:r>
          </w:p>
        </w:tc>
        <w:tc>
          <w:tcPr>
            <w:tcW w:w="968" w:type="pct"/>
          </w:tcPr>
          <w:p w:rsidR="00126C5D" w:rsidRDefault="00126C5D" w:rsidP="00126C5D">
            <w:pPr>
              <w:rPr>
                <w:rFonts w:asciiTheme="minorHAnsi" w:hAnsiTheme="minorHAnsi" w:cstheme="minorHAnsi"/>
                <w:bCs/>
                <w:sz w:val="22"/>
                <w:szCs w:val="22"/>
              </w:rPr>
            </w:pPr>
            <w:r>
              <w:rPr>
                <w:rFonts w:asciiTheme="minorHAnsi" w:hAnsiTheme="minorHAnsi" w:cstheme="minorHAnsi"/>
                <w:bCs/>
                <w:sz w:val="22"/>
                <w:szCs w:val="22"/>
              </w:rPr>
              <w:t>Henry Liu</w:t>
            </w:r>
          </w:p>
          <w:p w:rsidR="00126C5D" w:rsidRPr="00471AED" w:rsidRDefault="00126C5D" w:rsidP="00126C5D">
            <w:pPr>
              <w:rPr>
                <w:rFonts w:asciiTheme="minorHAnsi" w:hAnsiTheme="minorHAnsi" w:cstheme="minorHAnsi"/>
                <w:sz w:val="22"/>
                <w:szCs w:val="22"/>
              </w:rPr>
            </w:pPr>
            <w:r w:rsidRPr="00471AED">
              <w:rPr>
                <w:rFonts w:asciiTheme="minorHAnsi" w:hAnsiTheme="minorHAnsi" w:cstheme="minorHAnsi"/>
                <w:bCs/>
                <w:sz w:val="22"/>
                <w:szCs w:val="22"/>
              </w:rPr>
              <w:t>(PG&amp;E)</w:t>
            </w:r>
          </w:p>
        </w:tc>
        <w:tc>
          <w:tcPr>
            <w:tcW w:w="2637" w:type="pct"/>
          </w:tcPr>
          <w:p w:rsidR="00126C5D" w:rsidRPr="00126C5D" w:rsidRDefault="00126C5D" w:rsidP="003F6688">
            <w:pPr>
              <w:pStyle w:val="ListParagraph"/>
              <w:numPr>
                <w:ilvl w:val="0"/>
                <w:numId w:val="20"/>
              </w:numPr>
              <w:rPr>
                <w:rFonts w:cstheme="minorHAnsi"/>
                <w:bCs/>
                <w:szCs w:val="22"/>
              </w:rPr>
            </w:pPr>
            <w:r w:rsidRPr="00126C5D">
              <w:rPr>
                <w:rFonts w:asciiTheme="minorHAnsi" w:hAnsiTheme="minorHAnsi" w:cstheme="minorHAnsi"/>
                <w:bCs/>
                <w:sz w:val="22"/>
                <w:szCs w:val="22"/>
              </w:rPr>
              <w:t>Updated motor savings calc</w:t>
            </w:r>
            <w:r>
              <w:rPr>
                <w:rFonts w:asciiTheme="minorHAnsi" w:hAnsiTheme="minorHAnsi" w:cstheme="minorHAnsi"/>
                <w:bCs/>
                <w:sz w:val="22"/>
                <w:szCs w:val="22"/>
              </w:rPr>
              <w:t xml:space="preserve">ulations using </w:t>
            </w:r>
            <w:r w:rsidR="003F6688">
              <w:rPr>
                <w:rFonts w:asciiTheme="minorHAnsi" w:hAnsiTheme="minorHAnsi" w:cstheme="minorHAnsi"/>
                <w:bCs/>
                <w:sz w:val="22"/>
                <w:szCs w:val="22"/>
              </w:rPr>
              <w:t>residential quality maintenance disposition for motor savings with new DEER2017 res baseline.</w:t>
            </w:r>
          </w:p>
        </w:tc>
      </w:tr>
    </w:tbl>
    <w:p w:rsidR="009500DC" w:rsidRPr="00397406" w:rsidRDefault="009500DC" w:rsidP="00DA690B">
      <w:pPr>
        <w:rPr>
          <w:rFonts w:cstheme="minorHAnsi"/>
        </w:rPr>
        <w:sectPr w:rsidR="009500DC" w:rsidRPr="00397406" w:rsidSect="007F7FBA">
          <w:footerReference w:type="default" r:id="rId14"/>
          <w:pgSz w:w="12240" w:h="15840"/>
          <w:pgMar w:top="1440" w:right="1440" w:bottom="1440" w:left="1440" w:header="720" w:footer="720" w:gutter="0"/>
          <w:pgNumType w:fmt="lowerRoman" w:start="1"/>
          <w:cols w:space="720"/>
          <w:docGrid w:linePitch="360"/>
        </w:sectPr>
      </w:pPr>
    </w:p>
    <w:p w:rsidR="00E16609" w:rsidRPr="00397406" w:rsidRDefault="00E16609" w:rsidP="00E16609">
      <w:pPr>
        <w:pStyle w:val="Heading1"/>
        <w:rPr>
          <w:rFonts w:cstheme="minorHAnsi"/>
        </w:rPr>
      </w:pPr>
      <w:r w:rsidRPr="00397406">
        <w:rPr>
          <w:rFonts w:cstheme="minorHAnsi"/>
        </w:rPr>
        <w:lastRenderedPageBreak/>
        <w:t>Section 1</w:t>
      </w:r>
      <w:r w:rsidR="001D3223" w:rsidRPr="00397406">
        <w:rPr>
          <w:rFonts w:cstheme="minorHAnsi"/>
        </w:rPr>
        <w:t>:</w:t>
      </w:r>
      <w:r w:rsidRPr="00397406">
        <w:rPr>
          <w:rFonts w:cstheme="minorHAnsi"/>
        </w:rPr>
        <w:t xml:space="preserve"> General Measure &amp; Baseline Data</w:t>
      </w:r>
      <w:bookmarkEnd w:id="1"/>
    </w:p>
    <w:p w:rsidR="00E16609" w:rsidRPr="00397406" w:rsidRDefault="00824F1C" w:rsidP="00697868">
      <w:pPr>
        <w:pStyle w:val="Heading2"/>
        <w:rPr>
          <w:rFonts w:asciiTheme="minorHAnsi" w:hAnsiTheme="minorHAnsi"/>
        </w:rPr>
      </w:pPr>
      <w:bookmarkStart w:id="7" w:name="_Toc214003083"/>
      <w:r w:rsidRPr="00397406">
        <w:rPr>
          <w:rFonts w:asciiTheme="minorHAnsi" w:hAnsiTheme="minorHAnsi"/>
        </w:rPr>
        <w:t xml:space="preserve">1.1 </w:t>
      </w:r>
      <w:r w:rsidR="00AC5309" w:rsidRPr="00397406">
        <w:rPr>
          <w:rFonts w:asciiTheme="minorHAnsi" w:hAnsiTheme="minorHAnsi"/>
        </w:rPr>
        <w:t xml:space="preserve">Measure Description </w:t>
      </w:r>
      <w:r w:rsidR="00E16609" w:rsidRPr="00397406">
        <w:rPr>
          <w:rFonts w:asciiTheme="minorHAnsi" w:hAnsiTheme="minorHAnsi"/>
        </w:rPr>
        <w:t xml:space="preserve">&amp; </w:t>
      </w:r>
      <w:r w:rsidR="00AC5309" w:rsidRPr="00397406">
        <w:rPr>
          <w:rFonts w:asciiTheme="minorHAnsi" w:hAnsiTheme="minorHAnsi"/>
        </w:rPr>
        <w:t>Background</w:t>
      </w:r>
      <w:r w:rsidR="00E16609" w:rsidRPr="00397406">
        <w:rPr>
          <w:rFonts w:asciiTheme="minorHAnsi" w:hAnsiTheme="minorHAnsi"/>
        </w:rPr>
        <w:t xml:space="preserve"> </w:t>
      </w:r>
      <w:bookmarkEnd w:id="7"/>
    </w:p>
    <w:p w:rsidR="001D3223" w:rsidRPr="00397406" w:rsidRDefault="007254F6" w:rsidP="007663B2">
      <w:pPr>
        <w:autoSpaceDE w:val="0"/>
        <w:autoSpaceDN w:val="0"/>
        <w:adjustRightInd w:val="0"/>
        <w:rPr>
          <w:rFonts w:cstheme="minorHAnsi"/>
          <w:i/>
          <w:szCs w:val="22"/>
        </w:rPr>
      </w:pPr>
      <w:r w:rsidRPr="00EF6ED9">
        <w:t>This work paper documents the rationale for the savings methodologies and assumptions for High Efficiency Non-Residential Central Natural Gas Furnaces, as listed in the Heating Ventilation and Air Conditioning (HVAC) Catalog.  PG&amp;E offers incentives to non-residential customers for installing qualifying high efficiency eq</w:t>
      </w:r>
      <w:r>
        <w:t xml:space="preserve">uipment. This measure </w:t>
      </w:r>
      <w:r w:rsidRPr="00EF6ED9">
        <w:t xml:space="preserve">is intended for the replacement of standard efficiency furnaces with high efficiency furnaces, with or without a Variable Speed Motor (VSM) with an Annual Fuel Utilization Efficiency (AFUE) rating of </w:t>
      </w:r>
      <w:r>
        <w:t>95%</w:t>
      </w:r>
      <w:r w:rsidRPr="00EF6ED9">
        <w:t xml:space="preserve"> or greater.</w:t>
      </w:r>
      <w:r>
        <w:t xml:space="preserve"> </w:t>
      </w:r>
      <w:r w:rsidRPr="00EF6ED9">
        <w:t>Rebates under this measure code are also extended to high efficiency furnaces equipped with Variable Frequency Drives (VFDs).</w:t>
      </w:r>
    </w:p>
    <w:p w:rsidR="001D3223" w:rsidRPr="00397406" w:rsidRDefault="001D3223" w:rsidP="001D3223">
      <w:pPr>
        <w:pStyle w:val="Reminders"/>
        <w:tabs>
          <w:tab w:val="num" w:pos="360"/>
        </w:tabs>
        <w:rPr>
          <w:rFonts w:asciiTheme="minorHAnsi" w:hAnsiTheme="minorHAnsi" w:cstheme="minorHAnsi"/>
          <w:i w:val="0"/>
          <w:szCs w:val="22"/>
        </w:rPr>
      </w:pPr>
    </w:p>
    <w:p w:rsidR="00AC5309" w:rsidRPr="00397406" w:rsidRDefault="00AC5309" w:rsidP="00AC5309">
      <w:pPr>
        <w:pStyle w:val="Caption"/>
        <w:jc w:val="center"/>
        <w:rPr>
          <w:rFonts w:cstheme="minorHAnsi"/>
          <w:szCs w:val="22"/>
        </w:rPr>
      </w:pPr>
      <w:bookmarkStart w:id="8" w:name="_Ref398732825"/>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864B9E">
        <w:rPr>
          <w:rFonts w:cstheme="minorHAnsi"/>
          <w:noProof/>
          <w:szCs w:val="22"/>
        </w:rPr>
        <w:t>1</w:t>
      </w:r>
      <w:r w:rsidRPr="00397406">
        <w:rPr>
          <w:rFonts w:cstheme="minorHAnsi"/>
          <w:szCs w:val="22"/>
        </w:rPr>
        <w:fldChar w:fldCharType="end"/>
      </w:r>
      <w:bookmarkEnd w:id="8"/>
      <w:r w:rsidR="001D3223" w:rsidRPr="00397406">
        <w:rPr>
          <w:rFonts w:cstheme="minorHAnsi"/>
          <w:szCs w:val="22"/>
        </w:rPr>
        <w:t>:</w:t>
      </w:r>
      <w:r w:rsidRPr="00397406">
        <w:rPr>
          <w:rFonts w:cstheme="minorHAnsi"/>
          <w:szCs w:val="22"/>
        </w:rPr>
        <w:t xml:space="preserve"> Measure</w:t>
      </w:r>
      <w:r w:rsidR="005476F6" w:rsidRPr="00397406">
        <w:rPr>
          <w:rFonts w:cstheme="minorHAnsi"/>
          <w:szCs w:val="22"/>
        </w:rPr>
        <w:t>s and Codes</w:t>
      </w:r>
    </w:p>
    <w:tbl>
      <w:tblPr>
        <w:tblStyle w:val="TableContemporary"/>
        <w:tblW w:w="8055" w:type="dxa"/>
        <w:jc w:val="center"/>
        <w:tblInd w:w="126" w:type="dxa"/>
        <w:tblLook w:val="04A0" w:firstRow="1" w:lastRow="0" w:firstColumn="1" w:lastColumn="0" w:noHBand="0" w:noVBand="1"/>
      </w:tblPr>
      <w:tblGrid>
        <w:gridCol w:w="1662"/>
        <w:gridCol w:w="1443"/>
        <w:gridCol w:w="4950"/>
      </w:tblGrid>
      <w:tr w:rsidR="00397406" w:rsidRPr="00397406" w:rsidTr="0042049F">
        <w:trPr>
          <w:cnfStyle w:val="100000000000" w:firstRow="1" w:lastRow="0" w:firstColumn="0" w:lastColumn="0" w:oddVBand="0" w:evenVBand="0" w:oddHBand="0" w:evenHBand="0" w:firstRowFirstColumn="0" w:firstRowLastColumn="0" w:lastRowFirstColumn="0" w:lastRowLastColumn="0"/>
          <w:jc w:val="center"/>
        </w:trPr>
        <w:tc>
          <w:tcPr>
            <w:tcW w:w="1662" w:type="dxa"/>
          </w:tcPr>
          <w:p w:rsidR="00397406" w:rsidRPr="00471AED" w:rsidRDefault="00F05BD2" w:rsidP="007254F6">
            <w:pPr>
              <w:jc w:val="center"/>
              <w:rPr>
                <w:rFonts w:asciiTheme="minorHAnsi" w:hAnsiTheme="minorHAnsi" w:cstheme="minorHAnsi"/>
                <w:sz w:val="22"/>
                <w:szCs w:val="22"/>
              </w:rPr>
            </w:pPr>
            <w:r>
              <w:rPr>
                <w:rFonts w:asciiTheme="minorHAnsi" w:hAnsiTheme="minorHAnsi" w:cstheme="minorHAnsi"/>
                <w:sz w:val="22"/>
                <w:szCs w:val="22"/>
              </w:rPr>
              <w:t>SCG</w:t>
            </w:r>
            <w:r w:rsidR="0080069F" w:rsidRPr="00471AED">
              <w:rPr>
                <w:rFonts w:asciiTheme="minorHAnsi" w:hAnsiTheme="minorHAnsi" w:cstheme="minorHAnsi"/>
                <w:sz w:val="22"/>
                <w:szCs w:val="22"/>
              </w:rPr>
              <w:t xml:space="preserve"> </w:t>
            </w:r>
            <w:r w:rsidR="00397406" w:rsidRPr="00471AED">
              <w:rPr>
                <w:rFonts w:asciiTheme="minorHAnsi" w:hAnsiTheme="minorHAnsi" w:cstheme="minorHAnsi"/>
                <w:sz w:val="22"/>
                <w:szCs w:val="22"/>
              </w:rPr>
              <w:t>Solution Code</w:t>
            </w:r>
          </w:p>
        </w:tc>
        <w:tc>
          <w:tcPr>
            <w:tcW w:w="1443" w:type="dxa"/>
          </w:tcPr>
          <w:p w:rsidR="00397406" w:rsidRPr="00471AED" w:rsidRDefault="0080069F" w:rsidP="007254F6">
            <w:pPr>
              <w:jc w:val="center"/>
              <w:rPr>
                <w:rFonts w:asciiTheme="minorHAnsi" w:hAnsiTheme="minorHAnsi" w:cstheme="minorHAnsi"/>
                <w:sz w:val="22"/>
                <w:szCs w:val="22"/>
              </w:rPr>
            </w:pPr>
            <w:r w:rsidRPr="00471AED">
              <w:rPr>
                <w:rFonts w:asciiTheme="minorHAnsi" w:hAnsiTheme="minorHAnsi" w:cstheme="minorHAnsi"/>
                <w:sz w:val="22"/>
                <w:szCs w:val="22"/>
              </w:rPr>
              <w:t xml:space="preserve">PG&amp;E </w:t>
            </w:r>
            <w:r w:rsidR="00397406" w:rsidRPr="00471AED">
              <w:rPr>
                <w:rFonts w:asciiTheme="minorHAnsi" w:hAnsiTheme="minorHAnsi" w:cstheme="minorHAnsi"/>
                <w:sz w:val="22"/>
                <w:szCs w:val="22"/>
              </w:rPr>
              <w:t>Measure Code</w:t>
            </w:r>
          </w:p>
        </w:tc>
        <w:tc>
          <w:tcPr>
            <w:tcW w:w="4950" w:type="dxa"/>
          </w:tcPr>
          <w:p w:rsidR="00397406" w:rsidRPr="00471AED" w:rsidRDefault="00397406" w:rsidP="007254F6">
            <w:pPr>
              <w:jc w:val="center"/>
              <w:rPr>
                <w:rFonts w:asciiTheme="minorHAnsi" w:hAnsiTheme="minorHAnsi" w:cstheme="minorHAnsi"/>
                <w:sz w:val="22"/>
                <w:szCs w:val="22"/>
              </w:rPr>
            </w:pPr>
            <w:r w:rsidRPr="00471AED">
              <w:rPr>
                <w:rFonts w:asciiTheme="minorHAnsi" w:hAnsiTheme="minorHAnsi" w:cstheme="minorHAnsi"/>
                <w:sz w:val="22"/>
                <w:szCs w:val="22"/>
              </w:rPr>
              <w:t>Measure Name</w:t>
            </w:r>
          </w:p>
        </w:tc>
      </w:tr>
      <w:tr w:rsidR="00397406" w:rsidRPr="00397406" w:rsidTr="0042049F">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tcPr>
          <w:p w:rsidR="00397406" w:rsidRPr="00471AED" w:rsidRDefault="00397406" w:rsidP="007254F6">
            <w:pPr>
              <w:jc w:val="center"/>
              <w:rPr>
                <w:rFonts w:asciiTheme="minorHAnsi" w:hAnsiTheme="minorHAnsi" w:cstheme="minorHAnsi"/>
                <w:sz w:val="22"/>
                <w:szCs w:val="22"/>
              </w:rPr>
            </w:pPr>
          </w:p>
        </w:tc>
        <w:tc>
          <w:tcPr>
            <w:tcW w:w="1443" w:type="dxa"/>
          </w:tcPr>
          <w:p w:rsidR="00397406"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SA16</w:t>
            </w:r>
          </w:p>
        </w:tc>
        <w:tc>
          <w:tcPr>
            <w:tcW w:w="4950" w:type="dxa"/>
          </w:tcPr>
          <w:p w:rsidR="00397406"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CENTRAL NATURAL GAS FURNACE - 95-96.9% AFUE WITH VSM</w:t>
            </w:r>
          </w:p>
        </w:tc>
      </w:tr>
      <w:tr w:rsidR="0042049F" w:rsidRPr="00397406" w:rsidTr="007254F6">
        <w:trPr>
          <w:cnfStyle w:val="000000010000" w:firstRow="0" w:lastRow="0" w:firstColumn="0" w:lastColumn="0" w:oddVBand="0" w:evenVBand="0" w:oddHBand="0" w:evenHBand="1" w:firstRowFirstColumn="0" w:firstRowLastColumn="0" w:lastRowFirstColumn="0" w:lastRowLastColumn="0"/>
          <w:trHeight w:val="513"/>
          <w:jc w:val="center"/>
        </w:trPr>
        <w:tc>
          <w:tcPr>
            <w:tcW w:w="1662" w:type="dxa"/>
          </w:tcPr>
          <w:p w:rsidR="0042049F" w:rsidRPr="00471AED" w:rsidRDefault="0042049F" w:rsidP="007254F6">
            <w:pPr>
              <w:jc w:val="center"/>
              <w:rPr>
                <w:rFonts w:asciiTheme="minorHAnsi" w:hAnsiTheme="minorHAnsi" w:cstheme="minorHAnsi"/>
                <w:sz w:val="22"/>
                <w:szCs w:val="22"/>
              </w:rPr>
            </w:pPr>
          </w:p>
        </w:tc>
        <w:tc>
          <w:tcPr>
            <w:tcW w:w="1443" w:type="dxa"/>
          </w:tcPr>
          <w:p w:rsidR="0042049F"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SA17</w:t>
            </w:r>
          </w:p>
        </w:tc>
        <w:tc>
          <w:tcPr>
            <w:tcW w:w="4950" w:type="dxa"/>
          </w:tcPr>
          <w:p w:rsidR="0042049F"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CENTRAL NATURAL GAS FURNACE - 95-96.9% AFUE WITHOUT VSM</w:t>
            </w:r>
          </w:p>
        </w:tc>
      </w:tr>
    </w:tbl>
    <w:p w:rsidR="0042049F" w:rsidRPr="0042049F" w:rsidRDefault="0042049F" w:rsidP="0042049F">
      <w:pPr>
        <w:pStyle w:val="Reminders"/>
        <w:ind w:left="720"/>
        <w:rPr>
          <w:rFonts w:asciiTheme="minorHAnsi" w:hAnsiTheme="minorHAnsi" w:cstheme="minorHAnsi"/>
          <w:i w:val="0"/>
          <w:szCs w:val="22"/>
        </w:rPr>
      </w:pPr>
    </w:p>
    <w:p w:rsidR="00697868" w:rsidRDefault="008E25B1"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Eligibility r</w:t>
      </w:r>
      <w:r w:rsidR="00697868"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r w:rsidR="009B6A79" w:rsidRPr="009B6A79">
        <w:rPr>
          <w:rFonts w:asciiTheme="minorHAnsi" w:hAnsiTheme="minorHAnsi" w:cstheme="minorHAnsi"/>
          <w:i w:val="0"/>
          <w:color w:val="auto"/>
        </w:rPr>
        <w:t>This measure is applied to nonresidential buildings located in PG&amp;E’s service territory.  To qualify the applicant must have natural gas distributed to the installation address for the gas furnace only rebate and have both natural gas and electricity for the natural gas furnace with variable speed motor (VSM) rebate.  The central natural gas furnace must have an Annual Fuel Utilization Efficiency (AFUE) rating of ≥ 95% and ≤ 96.9%.</w:t>
      </w:r>
    </w:p>
    <w:p w:rsidR="004A66E9" w:rsidRPr="008C654F" w:rsidRDefault="004A66E9" w:rsidP="004A66E9">
      <w:pPr>
        <w:pStyle w:val="Reminders"/>
        <w:ind w:left="720"/>
        <w:rPr>
          <w:rFonts w:asciiTheme="minorHAnsi" w:hAnsiTheme="minorHAnsi" w:cstheme="minorHAnsi"/>
          <w:i w:val="0"/>
          <w:color w:val="auto"/>
          <w:szCs w:val="22"/>
        </w:rPr>
      </w:pPr>
    </w:p>
    <w:p w:rsidR="00697868" w:rsidRDefault="00697868"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 xml:space="preserve">Implementation </w:t>
      </w:r>
      <w:r w:rsidR="008E25B1" w:rsidRPr="008C654F">
        <w:rPr>
          <w:rFonts w:asciiTheme="minorHAnsi" w:hAnsiTheme="minorHAnsi" w:cstheme="minorHAnsi"/>
          <w:b/>
          <w:i w:val="0"/>
          <w:color w:val="auto"/>
          <w:szCs w:val="22"/>
        </w:rPr>
        <w:t>r</w:t>
      </w:r>
      <w:r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p>
    <w:p w:rsidR="009B6A79" w:rsidRPr="009B6A79" w:rsidRDefault="009B6A79" w:rsidP="009B6A79">
      <w:pPr>
        <w:autoSpaceDE w:val="0"/>
        <w:autoSpaceDN w:val="0"/>
        <w:adjustRightInd w:val="0"/>
        <w:ind w:left="360"/>
        <w:rPr>
          <w:rFonts w:cstheme="minorHAnsi"/>
          <w:szCs w:val="22"/>
        </w:rPr>
      </w:pPr>
      <w:r w:rsidRPr="009B6A79">
        <w:rPr>
          <w:rFonts w:cstheme="minorHAnsi"/>
          <w:szCs w:val="22"/>
        </w:rPr>
        <w:t>Furnace Only:</w:t>
      </w:r>
    </w:p>
    <w:p w:rsidR="009B6A79" w:rsidRPr="009B6A79" w:rsidRDefault="009B6A79" w:rsidP="009B6A79">
      <w:pPr>
        <w:pStyle w:val="Pa4"/>
        <w:spacing w:before="120"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Customer must have natural gas distributed by PG&amp;E to the installation address.</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must have an Annual Fuel Utilization Efficiency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 xml:space="preserve">(AFUE) rating of </w:t>
      </w:r>
      <w:r w:rsidRPr="009B6A79">
        <w:rPr>
          <w:rFonts w:asciiTheme="minorHAnsi" w:hAnsiTheme="minorHAnsi" w:cstheme="minorHAnsi"/>
          <w:sz w:val="22"/>
          <w:szCs w:val="22"/>
        </w:rPr>
        <w:t xml:space="preserve">95 percent </w:t>
      </w:r>
      <w:r w:rsidRPr="009B6A79">
        <w:rPr>
          <w:rFonts w:asciiTheme="minorHAnsi" w:hAnsiTheme="minorHAnsi" w:cstheme="minorHAnsi"/>
          <w:color w:val="000000"/>
          <w:sz w:val="22"/>
          <w:szCs w:val="22"/>
        </w:rPr>
        <w:t>to 96.9 percent.</w:t>
      </w:r>
    </w:p>
    <w:p w:rsidR="009B6A79" w:rsidRPr="009B6A79" w:rsidRDefault="009B6A79" w:rsidP="009B6A79">
      <w:pPr>
        <w:tabs>
          <w:tab w:val="left" w:pos="360"/>
        </w:tabs>
        <w:autoSpaceDE w:val="0"/>
        <w:autoSpaceDN w:val="0"/>
        <w:adjustRightInd w:val="0"/>
        <w:ind w:left="360"/>
        <w:rPr>
          <w:rFonts w:cstheme="minorHAnsi"/>
          <w:szCs w:val="22"/>
        </w:rPr>
      </w:pPr>
      <w:r w:rsidRPr="009B6A79">
        <w:rPr>
          <w:rFonts w:cstheme="minorHAnsi"/>
          <w:bCs/>
          <w:szCs w:val="22"/>
        </w:rPr>
        <w:t xml:space="preserve"> </w:t>
      </w:r>
      <w:r>
        <w:rPr>
          <w:rFonts w:cstheme="minorHAnsi"/>
          <w:bCs/>
          <w:szCs w:val="22"/>
        </w:rPr>
        <w:tab/>
      </w:r>
      <w:r w:rsidRPr="009B6A79">
        <w:rPr>
          <w:rFonts w:cstheme="minorHAnsi"/>
          <w:bCs/>
          <w:szCs w:val="22"/>
        </w:rPr>
        <w:t xml:space="preserve">• </w:t>
      </w:r>
      <w:r w:rsidRPr="009B6A79">
        <w:rPr>
          <w:rFonts w:cstheme="minorHAnsi"/>
          <w:szCs w:val="22"/>
        </w:rPr>
        <w:t xml:space="preserve">Go to </w:t>
      </w:r>
      <w:hyperlink r:id="rId15" w:history="1">
        <w:r w:rsidRPr="009B6A79">
          <w:rPr>
            <w:rStyle w:val="Hyperlink"/>
            <w:rFonts w:cstheme="minorHAnsi"/>
            <w:szCs w:val="22"/>
          </w:rPr>
          <w:t>https://www.ahridirectory.org/ahridirectory/pages/home.aspx</w:t>
        </w:r>
      </w:hyperlink>
      <w:r w:rsidRPr="009B6A79">
        <w:rPr>
          <w:rFonts w:cstheme="minorHAnsi"/>
          <w:bCs/>
          <w:szCs w:val="22"/>
        </w:rPr>
        <w:t xml:space="preserve"> </w:t>
      </w:r>
      <w:r w:rsidRPr="009B6A79">
        <w:rPr>
          <w:rFonts w:cstheme="minorHAnsi"/>
          <w:szCs w:val="22"/>
        </w:rPr>
        <w:t xml:space="preserve">to search for qualifying </w:t>
      </w:r>
      <w:r w:rsidRPr="009B6A79">
        <w:rPr>
          <w:rFonts w:cstheme="minorHAnsi"/>
          <w:szCs w:val="22"/>
        </w:rPr>
        <w:tab/>
      </w:r>
      <w:r>
        <w:rPr>
          <w:rFonts w:cstheme="minorHAnsi"/>
          <w:szCs w:val="22"/>
        </w:rPr>
        <w:t xml:space="preserve">  </w:t>
      </w:r>
      <w:r>
        <w:rPr>
          <w:rFonts w:cstheme="minorHAnsi"/>
          <w:szCs w:val="22"/>
        </w:rPr>
        <w:tab/>
        <w:t xml:space="preserve">   </w:t>
      </w:r>
      <w:r w:rsidRPr="009B6A79">
        <w:rPr>
          <w:rFonts w:cstheme="minorHAnsi"/>
          <w:szCs w:val="22"/>
        </w:rPr>
        <w:t>products that meet or exceed the requirements in the Furnace Rebate Table.</w:t>
      </w:r>
    </w:p>
    <w:p w:rsidR="009B6A79" w:rsidRPr="009B6A79" w:rsidRDefault="009B6A79" w:rsidP="009B6A79">
      <w:pPr>
        <w:tabs>
          <w:tab w:val="left" w:pos="360"/>
        </w:tabs>
        <w:autoSpaceDE w:val="0"/>
        <w:autoSpaceDN w:val="0"/>
        <w:adjustRightInd w:val="0"/>
        <w:ind w:left="360"/>
        <w:rPr>
          <w:rFonts w:cstheme="minorHAnsi"/>
          <w:szCs w:val="22"/>
        </w:rPr>
      </w:pPr>
    </w:p>
    <w:p w:rsidR="009B6A79" w:rsidRPr="009B6A79" w:rsidRDefault="009B6A79" w:rsidP="009B6A79">
      <w:pPr>
        <w:pStyle w:val="Default"/>
        <w:ind w:left="360"/>
        <w:rPr>
          <w:rFonts w:asciiTheme="minorHAnsi" w:hAnsiTheme="minorHAnsi" w:cstheme="minorHAnsi"/>
          <w:sz w:val="22"/>
          <w:szCs w:val="22"/>
        </w:rPr>
      </w:pPr>
      <w:r w:rsidRPr="009B6A79">
        <w:rPr>
          <w:rFonts w:asciiTheme="minorHAnsi" w:hAnsiTheme="minorHAnsi" w:cstheme="minorHAnsi"/>
          <w:sz w:val="22"/>
          <w:szCs w:val="22"/>
        </w:rPr>
        <w:t>Furnace with built-in Variable Speed Motor (VSM):</w:t>
      </w:r>
    </w:p>
    <w:p w:rsidR="009B6A79" w:rsidRPr="009B6A79" w:rsidRDefault="009B6A79" w:rsidP="00F05BD2">
      <w:pPr>
        <w:autoSpaceDE w:val="0"/>
        <w:autoSpaceDN w:val="0"/>
        <w:adjustRightInd w:val="0"/>
        <w:rPr>
          <w:rFonts w:cstheme="minorHAnsi"/>
          <w:bCs/>
          <w:color w:val="000000"/>
          <w:szCs w:val="22"/>
        </w:rPr>
      </w:pPr>
      <w:r w:rsidRPr="009B6A79">
        <w:rPr>
          <w:rFonts w:cstheme="minorHAnsi"/>
          <w:bCs/>
          <w:color w:val="000000"/>
          <w:szCs w:val="22"/>
        </w:rPr>
        <w:tab/>
        <w:t xml:space="preserve">• </w:t>
      </w:r>
      <w:r w:rsidR="00A7617F" w:rsidRPr="00F05BD2">
        <w:rPr>
          <w:rFonts w:eastAsiaTheme="minorHAnsi" w:cstheme="minorHAnsi"/>
          <w:szCs w:val="22"/>
        </w:rPr>
        <w:t>Installation address must have both commercial natural</w:t>
      </w:r>
      <w:r w:rsidR="00F05BD2" w:rsidRPr="00F05BD2">
        <w:rPr>
          <w:rFonts w:eastAsiaTheme="minorHAnsi" w:cstheme="minorHAnsi"/>
          <w:szCs w:val="22"/>
        </w:rPr>
        <w:t xml:space="preserve"> </w:t>
      </w:r>
      <w:r w:rsidR="00A7617F" w:rsidRPr="00F05BD2">
        <w:rPr>
          <w:rFonts w:eastAsiaTheme="minorHAnsi" w:cstheme="minorHAnsi"/>
          <w:szCs w:val="22"/>
        </w:rPr>
        <w:t>gas and electric accounts with PG&amp;E.</w:t>
      </w:r>
      <w:r>
        <w:rPr>
          <w:rFonts w:cstheme="minorHAnsi"/>
          <w:color w:val="000000"/>
          <w:szCs w:val="22"/>
        </w:rPr>
        <w:tab/>
        <w:t xml:space="preserve"> </w:t>
      </w:r>
      <w:r>
        <w:rPr>
          <w:rFonts w:cstheme="minorHAnsi"/>
          <w:color w:val="000000"/>
          <w:szCs w:val="22"/>
        </w:rPr>
        <w:tab/>
        <w:t xml:space="preserve">  </w:t>
      </w:r>
      <w:r w:rsidR="00F05BD2">
        <w:rPr>
          <w:rFonts w:cstheme="minorHAnsi"/>
          <w:color w:val="000000"/>
          <w:szCs w:val="22"/>
        </w:rPr>
        <w:t xml:space="preserve"> </w:t>
      </w:r>
      <w:hyperlink r:id="rId16" w:history="1">
        <w:r w:rsidRPr="009B6A79">
          <w:rPr>
            <w:rStyle w:val="Hyperlink"/>
            <w:rFonts w:cstheme="minorHAnsi"/>
            <w:szCs w:val="22"/>
          </w:rPr>
          <w:t>http://www.energy.ca.gov/maps/renewable/Climate_Zones_Zipcode.pdf</w:t>
        </w:r>
      </w:hyperlink>
      <w:r w:rsidRPr="009B6A79">
        <w:rPr>
          <w:rFonts w:cstheme="minorHAnsi"/>
          <w:bCs/>
          <w:color w:val="000000"/>
          <w:szCs w:val="22"/>
        </w:rPr>
        <w:t>.</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with Built-In Variable Speed Motor must have an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AFUE rating of 95 percent to 96.9 percent.</w:t>
      </w:r>
    </w:p>
    <w:p w:rsidR="009B6A79" w:rsidRPr="009B6A79" w:rsidRDefault="009B6A79" w:rsidP="009B6A79">
      <w:pPr>
        <w:ind w:left="360"/>
        <w:rPr>
          <w:rFonts w:cstheme="minorHAnsi"/>
          <w:szCs w:val="22"/>
        </w:rPr>
      </w:pPr>
      <w:r>
        <w:rPr>
          <w:rFonts w:cstheme="minorHAnsi"/>
          <w:szCs w:val="22"/>
        </w:rPr>
        <w:tab/>
      </w:r>
      <w:r w:rsidRPr="009B6A79">
        <w:rPr>
          <w:rFonts w:cstheme="minorHAnsi"/>
          <w:szCs w:val="22"/>
        </w:rPr>
        <w:t>•</w:t>
      </w:r>
      <w:r w:rsidRPr="009B6A79">
        <w:rPr>
          <w:rFonts w:cstheme="minorHAnsi"/>
          <w:color w:val="00EEF3"/>
          <w:szCs w:val="22"/>
        </w:rPr>
        <w:t xml:space="preserve"> </w:t>
      </w:r>
      <w:r w:rsidRPr="009B6A79">
        <w:rPr>
          <w:rFonts w:cstheme="minorHAnsi"/>
          <w:color w:val="000000"/>
          <w:szCs w:val="22"/>
        </w:rPr>
        <w:t>Only residential furnaces installed on a small commercial setting qualify for the rebate.</w:t>
      </w:r>
    </w:p>
    <w:p w:rsidR="009B6A79" w:rsidRPr="009B6A79" w:rsidRDefault="009B6A79" w:rsidP="009B6A79">
      <w:pPr>
        <w:pStyle w:val="Pa4"/>
        <w:tabs>
          <w:tab w:val="left" w:pos="180"/>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lastRenderedPageBreak/>
        <w:tab/>
        <w:t xml:space="preserve">• </w:t>
      </w:r>
      <w:r w:rsidRPr="009B6A79">
        <w:rPr>
          <w:rFonts w:asciiTheme="minorHAnsi" w:hAnsiTheme="minorHAnsi" w:cstheme="minorHAnsi"/>
          <w:color w:val="000000"/>
          <w:sz w:val="22"/>
          <w:szCs w:val="22"/>
        </w:rPr>
        <w:t xml:space="preserve">Go to </w:t>
      </w:r>
      <w:hyperlink r:id="rId17" w:history="1">
        <w:r w:rsidRPr="009B6A79">
          <w:rPr>
            <w:rStyle w:val="Hyperlink"/>
            <w:rFonts w:asciiTheme="minorHAnsi" w:hAnsiTheme="minorHAnsi" w:cstheme="minorHAnsi"/>
            <w:sz w:val="22"/>
            <w:szCs w:val="22"/>
          </w:rPr>
          <w:t>https://www.ahridirectory.org/ahridirectory/pages/home.aspx</w:t>
        </w:r>
      </w:hyperlink>
      <w:r w:rsidRPr="009B6A79">
        <w:rPr>
          <w:rFonts w:asciiTheme="minorHAnsi" w:hAnsiTheme="minorHAnsi" w:cstheme="minorHAnsi"/>
          <w:color w:val="000000"/>
          <w:sz w:val="22"/>
          <w:szCs w:val="22"/>
        </w:rPr>
        <w:t xml:space="preserve"> to search for qualifying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products that meet or exceed the requirements in the Furnace with VSM Rebate Table.</w:t>
      </w:r>
    </w:p>
    <w:p w:rsidR="009B6A79" w:rsidRPr="009B6A79" w:rsidRDefault="009B6A79" w:rsidP="009B6A79">
      <w:pPr>
        <w:pStyle w:val="Pa4"/>
        <w:tabs>
          <w:tab w:val="left" w:pos="90"/>
          <w:tab w:val="left" w:pos="180"/>
          <w:tab w:val="left" w:pos="360"/>
        </w:tabs>
        <w:spacing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A brushless DC motor, also known as an electronically</w:t>
      </w:r>
      <w:r>
        <w:rPr>
          <w:rFonts w:asciiTheme="minorHAnsi" w:hAnsiTheme="minorHAnsi" w:cstheme="minorHAnsi"/>
          <w:color w:val="000000"/>
          <w:sz w:val="22"/>
          <w:szCs w:val="22"/>
        </w:rPr>
        <w:t xml:space="preserve"> commutated motor (ECM) may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qualify for this rebate.</w:t>
      </w:r>
    </w:p>
    <w:p w:rsidR="009B6A79" w:rsidRPr="009B6A79" w:rsidRDefault="009B6A79" w:rsidP="009B6A79">
      <w:pPr>
        <w:pStyle w:val="Reminders"/>
        <w:ind w:left="360"/>
        <w:rPr>
          <w:rFonts w:asciiTheme="minorHAnsi" w:hAnsiTheme="minorHAnsi" w:cstheme="minorHAnsi"/>
          <w:i w:val="0"/>
          <w:color w:val="auto"/>
          <w:szCs w:val="22"/>
        </w:rPr>
      </w:pPr>
      <w:r w:rsidRPr="009B6A79">
        <w:rPr>
          <w:rFonts w:asciiTheme="minorHAnsi" w:hAnsiTheme="minorHAnsi" w:cstheme="minorHAnsi"/>
          <w:bCs/>
          <w:szCs w:val="22"/>
        </w:rPr>
        <w:tab/>
      </w:r>
      <w:r w:rsidRPr="009B6A79">
        <w:rPr>
          <w:rFonts w:asciiTheme="minorHAnsi" w:hAnsiTheme="minorHAnsi" w:cstheme="minorHAnsi"/>
          <w:bCs/>
          <w:i w:val="0"/>
          <w:color w:val="auto"/>
          <w:szCs w:val="22"/>
        </w:rPr>
        <w:t xml:space="preserve">• </w:t>
      </w:r>
      <w:r w:rsidRPr="009B6A79">
        <w:rPr>
          <w:rFonts w:asciiTheme="minorHAnsi" w:hAnsiTheme="minorHAnsi" w:cstheme="minorHAnsi"/>
          <w:i w:val="0"/>
          <w:color w:val="auto"/>
          <w:szCs w:val="22"/>
        </w:rPr>
        <w:t>Note: Consult with your licensed contractor to verify your furnace has a built-in VSM.</w:t>
      </w:r>
    </w:p>
    <w:p w:rsidR="004A66E9" w:rsidRPr="008C654F" w:rsidRDefault="004A66E9" w:rsidP="009B6A79">
      <w:pPr>
        <w:pStyle w:val="Reminders"/>
        <w:ind w:left="720"/>
        <w:rPr>
          <w:rFonts w:asciiTheme="minorHAnsi" w:hAnsiTheme="minorHAnsi" w:cstheme="minorHAnsi"/>
          <w:i w:val="0"/>
          <w:color w:val="auto"/>
          <w:szCs w:val="22"/>
        </w:rPr>
      </w:pPr>
    </w:p>
    <w:p w:rsidR="00760CDC" w:rsidRPr="004A66E9" w:rsidRDefault="008E25B1" w:rsidP="008C654F">
      <w:pPr>
        <w:pStyle w:val="ListParagraph"/>
        <w:numPr>
          <w:ilvl w:val="0"/>
          <w:numId w:val="11"/>
        </w:numPr>
        <w:autoSpaceDE w:val="0"/>
        <w:autoSpaceDN w:val="0"/>
        <w:adjustRightInd w:val="0"/>
        <w:rPr>
          <w:rFonts w:ascii="DIN-Light" w:eastAsiaTheme="minorHAnsi" w:hAnsi="DIN-Light" w:cs="DIN-Light"/>
          <w:sz w:val="19"/>
          <w:szCs w:val="19"/>
        </w:rPr>
      </w:pPr>
      <w:r w:rsidRPr="004A66E9">
        <w:rPr>
          <w:rFonts w:cstheme="minorHAnsi"/>
          <w:b/>
          <w:szCs w:val="22"/>
        </w:rPr>
        <w:t>Other p</w:t>
      </w:r>
      <w:r w:rsidR="00760CDC" w:rsidRPr="004A66E9">
        <w:rPr>
          <w:rFonts w:cstheme="minorHAnsi"/>
          <w:b/>
          <w:szCs w:val="22"/>
        </w:rPr>
        <w:t xml:space="preserve">rogram </w:t>
      </w:r>
      <w:r w:rsidRPr="004A66E9">
        <w:rPr>
          <w:rFonts w:cstheme="minorHAnsi"/>
          <w:b/>
          <w:szCs w:val="22"/>
        </w:rPr>
        <w:t>restrictions and g</w:t>
      </w:r>
      <w:r w:rsidR="00760CDC" w:rsidRPr="004A66E9">
        <w:rPr>
          <w:rFonts w:cstheme="minorHAnsi"/>
          <w:b/>
          <w:szCs w:val="22"/>
        </w:rPr>
        <w:t>uidelines</w:t>
      </w:r>
      <w:r w:rsidR="008C654F" w:rsidRPr="004A66E9">
        <w:rPr>
          <w:rFonts w:cstheme="minorHAnsi"/>
          <w:b/>
          <w:szCs w:val="22"/>
        </w:rPr>
        <w:t xml:space="preserve">: </w:t>
      </w:r>
      <w:r w:rsidR="00C11295">
        <w:rPr>
          <w:rFonts w:cstheme="minorHAnsi"/>
          <w:b/>
          <w:szCs w:val="22"/>
        </w:rPr>
        <w:t>Must be a weatherized unit to qualify.</w:t>
      </w:r>
    </w:p>
    <w:p w:rsidR="00E16609" w:rsidRPr="00397406" w:rsidRDefault="00E16609" w:rsidP="00697868">
      <w:pPr>
        <w:pStyle w:val="Heading2"/>
        <w:rPr>
          <w:rFonts w:asciiTheme="minorHAnsi" w:hAnsiTheme="minorHAnsi"/>
        </w:rPr>
      </w:pPr>
      <w:r w:rsidRPr="00397406">
        <w:rPr>
          <w:rFonts w:asciiTheme="minorHAnsi" w:hAnsiTheme="minorHAnsi"/>
        </w:rPr>
        <w:t>1.</w:t>
      </w:r>
      <w:r w:rsidR="00AC5309" w:rsidRPr="00397406">
        <w:rPr>
          <w:rFonts w:asciiTheme="minorHAnsi" w:hAnsiTheme="minorHAnsi"/>
        </w:rPr>
        <w:t>2</w:t>
      </w:r>
      <w:r w:rsidRPr="00397406">
        <w:rPr>
          <w:rFonts w:asciiTheme="minorHAnsi" w:hAnsiTheme="minorHAnsi"/>
        </w:rPr>
        <w:t xml:space="preserve"> </w:t>
      </w:r>
      <w:r w:rsidR="00697868" w:rsidRPr="00397406">
        <w:rPr>
          <w:rFonts w:asciiTheme="minorHAnsi" w:hAnsiTheme="minorHAnsi"/>
        </w:rPr>
        <w:t>Technical</w:t>
      </w:r>
      <w:r w:rsidRPr="00397406">
        <w:rPr>
          <w:rFonts w:asciiTheme="minorHAnsi" w:hAnsiTheme="minorHAnsi"/>
        </w:rPr>
        <w:t xml:space="preserve"> Description</w:t>
      </w:r>
    </w:p>
    <w:p w:rsidR="009B6A79" w:rsidRPr="0077159C" w:rsidRDefault="009B6A79" w:rsidP="009B6A79">
      <w:r w:rsidRPr="003B6BC0">
        <w:rPr>
          <w:b/>
        </w:rPr>
        <w:t>Furnace only:</w:t>
      </w:r>
    </w:p>
    <w:p w:rsidR="009B6A79" w:rsidRPr="0077159C" w:rsidRDefault="009B6A79" w:rsidP="009B6A79"/>
    <w:p w:rsidR="009B6A79" w:rsidRDefault="009B6A79" w:rsidP="009B6A79">
      <w:r>
        <w:t>N</w:t>
      </w:r>
      <w:r w:rsidRPr="0077159C">
        <w:t>atural gas burning</w:t>
      </w:r>
      <w:r>
        <w:t>, forced-air</w:t>
      </w:r>
      <w:r w:rsidRPr="0077159C">
        <w:t xml:space="preserve"> furnaces provide heat to the conditioned space by passing </w:t>
      </w:r>
      <w:r>
        <w:t xml:space="preserve">indoor air </w:t>
      </w:r>
      <w:r w:rsidRPr="0077159C">
        <w:t xml:space="preserve">through a heat exchanger.    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rsidR="009B6A79" w:rsidRDefault="009B6A79" w:rsidP="009B6A79">
      <w:pPr>
        <w:rPr>
          <w:rFonts w:cstheme="minorHAnsi"/>
          <w:szCs w:val="22"/>
        </w:rPr>
      </w:pPr>
    </w:p>
    <w:p w:rsidR="009B6A79" w:rsidRPr="003B6BC0" w:rsidRDefault="009B6A79" w:rsidP="009B6A79">
      <w:pPr>
        <w:spacing w:after="240"/>
        <w:rPr>
          <w:b/>
        </w:rPr>
      </w:pPr>
      <w:r w:rsidRPr="003B6BC0">
        <w:rPr>
          <w:b/>
        </w:rPr>
        <w:t>Furnace with Variable Speed Motor:</w:t>
      </w:r>
    </w:p>
    <w:p w:rsidR="009B6A79" w:rsidRPr="0077159C" w:rsidRDefault="009B6A79" w:rsidP="009B6A79">
      <w:pPr>
        <w:spacing w:after="240"/>
      </w:pPr>
      <w:r w:rsidRPr="0077159C">
        <w:t xml:space="preserve">Most existing small-scale residential </w:t>
      </w:r>
      <w:r>
        <w:t xml:space="preserve">and small commercial </w:t>
      </w:r>
      <w:r w:rsidRPr="0077159C">
        <w:t xml:space="preserve">furnace blowers come with low cost, low efficiency, single speed PSC motors. These motors usually range in power between 1/3 to 2 hp. They turn on and off as required by thermostat control. This results in temperature variations, and high energy consumption of the furnace air handler blower motor. </w:t>
      </w:r>
    </w:p>
    <w:p w:rsidR="009B6A79" w:rsidRPr="0077159C" w:rsidRDefault="009B6A79" w:rsidP="009B6A79">
      <w:pPr>
        <w:spacing w:after="240"/>
      </w:pPr>
      <w:r w:rsidRPr="0077159C">
        <w:t xml:space="preserve">Most major furnace manufacturers are now offering optional variable-speed motor on their air handlers, and some comes built into the unit. These motors have integrated electronic controls that modulate the motor and fan speed based on the cooling or heating load of the system; most variable speed motors are programmed to run at lower speed majority of the time. These motors provide much more efficient operation, and improve the quality of the air distribution; however, they come at a premium price.  </w:t>
      </w:r>
    </w:p>
    <w:p w:rsidR="009B6A79" w:rsidRDefault="009B6A79" w:rsidP="009B6A79">
      <w:r w:rsidRPr="0077159C">
        <w:t>This measure is designed to encourage the installation of such variable-speed motor air handlers in residential buildings. Because of the (ideally) cubic relationship between fan power and fan speed, a small reduction in fan speed can result in large energy savings.</w:t>
      </w:r>
    </w:p>
    <w:p w:rsidR="00697868" w:rsidRPr="00397406" w:rsidRDefault="00697868" w:rsidP="00697868">
      <w:pPr>
        <w:pStyle w:val="Heading2"/>
        <w:rPr>
          <w:rFonts w:asciiTheme="minorHAnsi" w:hAnsiTheme="minorHAnsi"/>
        </w:rPr>
      </w:pPr>
      <w:r w:rsidRPr="00397406">
        <w:rPr>
          <w:rFonts w:asciiTheme="minorHAnsi" w:hAnsiTheme="minorHAnsi"/>
        </w:rPr>
        <w:t xml:space="preserve">1.3 </w:t>
      </w:r>
      <w:r w:rsidR="00B4065F" w:rsidRPr="00397406">
        <w:rPr>
          <w:rFonts w:asciiTheme="minorHAnsi" w:hAnsiTheme="minorHAnsi"/>
        </w:rPr>
        <w:t>Application Types</w:t>
      </w:r>
      <w:r w:rsidR="00C55D03" w:rsidRPr="00397406">
        <w:rPr>
          <w:rFonts w:asciiTheme="minorHAnsi" w:hAnsiTheme="minorHAnsi"/>
        </w:rPr>
        <w:t xml:space="preserve"> and Delivery</w:t>
      </w:r>
      <w:r w:rsidRPr="00397406">
        <w:rPr>
          <w:rFonts w:asciiTheme="minorHAnsi" w:hAnsiTheme="minorHAnsi"/>
        </w:rPr>
        <w:t xml:space="preserve"> </w:t>
      </w:r>
      <w:r w:rsidR="00B4065F" w:rsidRPr="00397406">
        <w:rPr>
          <w:rFonts w:asciiTheme="minorHAnsi" w:hAnsiTheme="minorHAnsi"/>
        </w:rPr>
        <w:t>Mechanisms</w:t>
      </w:r>
    </w:p>
    <w:p w:rsidR="0064729D" w:rsidRDefault="004A66E9" w:rsidP="009B6A79">
      <w:pPr>
        <w:pStyle w:val="Reminders"/>
        <w:tabs>
          <w:tab w:val="num" w:pos="360"/>
        </w:tabs>
        <w:rPr>
          <w:rFonts w:asciiTheme="minorHAnsi" w:hAnsiTheme="minorHAnsi" w:cstheme="minorHAnsi"/>
          <w:i w:val="0"/>
          <w:color w:val="auto"/>
          <w:szCs w:val="22"/>
        </w:rPr>
      </w:pPr>
      <w:r w:rsidRPr="00500AF2">
        <w:rPr>
          <w:rFonts w:asciiTheme="minorHAnsi" w:hAnsiTheme="minorHAnsi" w:cstheme="minorHAnsi"/>
          <w:i w:val="0"/>
          <w:color w:val="auto"/>
          <w:szCs w:val="22"/>
        </w:rPr>
        <w:t xml:space="preserve">The </w:t>
      </w:r>
      <w:r w:rsidR="0013440D" w:rsidRPr="00500AF2">
        <w:rPr>
          <w:rFonts w:asciiTheme="minorHAnsi" w:hAnsiTheme="minorHAnsi" w:cstheme="minorHAnsi"/>
          <w:i w:val="0"/>
          <w:color w:val="auto"/>
          <w:szCs w:val="22"/>
        </w:rPr>
        <w:t xml:space="preserve">Delivery Mechanism of these measures </w:t>
      </w:r>
      <w:r w:rsidR="008C7F79" w:rsidRPr="00500AF2">
        <w:rPr>
          <w:rFonts w:asciiTheme="minorHAnsi" w:hAnsiTheme="minorHAnsi" w:cstheme="minorHAnsi"/>
          <w:i w:val="0"/>
          <w:color w:val="auto"/>
          <w:szCs w:val="22"/>
        </w:rPr>
        <w:t>is</w:t>
      </w:r>
      <w:r w:rsidR="0013440D" w:rsidRPr="00500AF2">
        <w:rPr>
          <w:rFonts w:asciiTheme="minorHAnsi" w:hAnsiTheme="minorHAnsi" w:cstheme="minorHAnsi"/>
          <w:i w:val="0"/>
          <w:color w:val="auto"/>
          <w:szCs w:val="22"/>
        </w:rPr>
        <w:t xml:space="preserve"> </w:t>
      </w:r>
      <w:r w:rsidR="00472250" w:rsidRPr="00500AF2">
        <w:rPr>
          <w:rFonts w:asciiTheme="minorHAnsi" w:hAnsiTheme="minorHAnsi" w:cstheme="minorHAnsi"/>
          <w:i w:val="0"/>
          <w:color w:val="auto"/>
          <w:szCs w:val="22"/>
        </w:rPr>
        <w:t>Down-Stream Incentive - Deemed</w:t>
      </w:r>
      <w:r w:rsidR="0013440D" w:rsidRPr="00500AF2">
        <w:rPr>
          <w:rFonts w:asciiTheme="minorHAnsi" w:hAnsiTheme="minorHAnsi" w:cstheme="minorHAnsi"/>
          <w:i w:val="0"/>
          <w:color w:val="auto"/>
          <w:szCs w:val="22"/>
        </w:rPr>
        <w:t xml:space="preserve">.  On the Down-Stream Incentive – Deemed,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generally will go to the customers, however there are some cases where the customer will defer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to the install contractors.  </w:t>
      </w:r>
    </w:p>
    <w:p w:rsidR="00500AF2" w:rsidRDefault="00500AF2" w:rsidP="00697868">
      <w:pPr>
        <w:pStyle w:val="Reminders"/>
        <w:tabs>
          <w:tab w:val="num" w:pos="360"/>
        </w:tabs>
        <w:rPr>
          <w:rFonts w:asciiTheme="minorHAnsi" w:hAnsiTheme="minorHAnsi" w:cstheme="minorHAnsi"/>
          <w:i w:val="0"/>
          <w:color w:val="auto"/>
          <w:szCs w:val="22"/>
        </w:rPr>
      </w:pPr>
    </w:p>
    <w:p w:rsidR="00500AF2" w:rsidRPr="00397406" w:rsidRDefault="00500AF2" w:rsidP="00697868">
      <w:pPr>
        <w:pStyle w:val="Reminders"/>
        <w:tabs>
          <w:tab w:val="num" w:pos="360"/>
        </w:tabs>
        <w:rPr>
          <w:rFonts w:asciiTheme="minorHAnsi" w:hAnsiTheme="minorHAnsi" w:cstheme="minorHAnsi"/>
          <w:i w:val="0"/>
          <w:szCs w:val="22"/>
        </w:rPr>
      </w:pPr>
      <w:r w:rsidRPr="00500AF2">
        <w:rPr>
          <w:rFonts w:asciiTheme="minorHAnsi" w:hAnsiTheme="minorHAnsi" w:cstheme="minorHAnsi"/>
          <w:i w:val="0"/>
          <w:color w:val="auto"/>
          <w:szCs w:val="22"/>
        </w:rPr>
        <w:t>See Appendices A and B for definitions of application types and delivery mechanisms.</w:t>
      </w:r>
    </w:p>
    <w:p w:rsidR="00E16609" w:rsidRPr="00397406" w:rsidRDefault="00824F1C" w:rsidP="00824F1C">
      <w:pPr>
        <w:pStyle w:val="Heading2"/>
        <w:rPr>
          <w:rFonts w:asciiTheme="minorHAnsi" w:hAnsiTheme="minorHAnsi" w:cstheme="minorHAnsi"/>
        </w:rPr>
      </w:pPr>
      <w:bookmarkStart w:id="9" w:name="_Toc214003084"/>
      <w:proofErr w:type="gramStart"/>
      <w:r w:rsidRPr="00397406">
        <w:rPr>
          <w:rFonts w:asciiTheme="minorHAnsi" w:hAnsiTheme="minorHAnsi" w:cstheme="minorHAnsi"/>
        </w:rPr>
        <w:lastRenderedPageBreak/>
        <w:t>1.</w:t>
      </w:r>
      <w:r w:rsidR="00697868" w:rsidRPr="00397406">
        <w:rPr>
          <w:rFonts w:asciiTheme="minorHAnsi" w:hAnsiTheme="minorHAnsi" w:cstheme="minorHAnsi"/>
        </w:rPr>
        <w:t>4</w:t>
      </w:r>
      <w:r w:rsidRPr="00397406">
        <w:rPr>
          <w:rFonts w:asciiTheme="minorHAnsi" w:hAnsiTheme="minorHAnsi" w:cstheme="minorHAnsi"/>
        </w:rPr>
        <w:t xml:space="preserve">  </w:t>
      </w:r>
      <w:r w:rsidR="00697868" w:rsidRPr="00397406">
        <w:rPr>
          <w:rFonts w:asciiTheme="minorHAnsi" w:hAnsiTheme="minorHAnsi" w:cstheme="minorHAnsi"/>
        </w:rPr>
        <w:t>Measure</w:t>
      </w:r>
      <w:proofErr w:type="gramEnd"/>
      <w:r w:rsidR="00697868" w:rsidRPr="00397406">
        <w:rPr>
          <w:rFonts w:asciiTheme="minorHAnsi" w:hAnsiTheme="minorHAnsi" w:cstheme="minorHAnsi"/>
        </w:rPr>
        <w:t xml:space="preserve"> and Base Case</w:t>
      </w:r>
      <w:r w:rsidR="00E16609" w:rsidRPr="00397406">
        <w:rPr>
          <w:rFonts w:asciiTheme="minorHAnsi" w:hAnsiTheme="minorHAnsi" w:cstheme="minorHAnsi"/>
        </w:rPr>
        <w:t xml:space="preserve"> </w:t>
      </w:r>
      <w:r w:rsidR="00F06CCF" w:rsidRPr="00397406">
        <w:rPr>
          <w:rFonts w:asciiTheme="minorHAnsi" w:hAnsiTheme="minorHAnsi" w:cstheme="minorHAnsi"/>
        </w:rPr>
        <w:t>Cost Effectiveness Data</w:t>
      </w:r>
      <w:bookmarkEnd w:id="9"/>
    </w:p>
    <w:p w:rsidR="00F06CCF" w:rsidRPr="00397406" w:rsidRDefault="00F06CCF" w:rsidP="00F06CCF">
      <w:pPr>
        <w:pStyle w:val="Heading3"/>
        <w:rPr>
          <w:rFonts w:asciiTheme="minorHAnsi" w:hAnsiTheme="minorHAnsi"/>
        </w:rPr>
      </w:pPr>
      <w:r w:rsidRPr="00397406">
        <w:rPr>
          <w:rFonts w:asciiTheme="minorHAnsi" w:hAnsiTheme="minorHAnsi"/>
        </w:rPr>
        <w:t>1.4.1 DEER Measure and Base Case Analysis</w:t>
      </w:r>
    </w:p>
    <w:p w:rsidR="001E0CD3" w:rsidRPr="001E0CD3" w:rsidRDefault="00517A18" w:rsidP="002D71FA">
      <w:pPr>
        <w:pStyle w:val="Reminder"/>
        <w:rPr>
          <w:rFonts w:asciiTheme="minorHAnsi" w:hAnsiTheme="minorHAnsi" w:cstheme="minorHAnsi"/>
          <w:i w:val="0"/>
          <w:szCs w:val="22"/>
        </w:rPr>
      </w:pPr>
      <w:r w:rsidRPr="00517A18">
        <w:rPr>
          <w:rFonts w:asciiTheme="minorHAnsi" w:hAnsiTheme="minorHAnsi" w:cstheme="minorHAnsi"/>
          <w:i w:val="0"/>
          <w:color w:val="auto"/>
        </w:rPr>
        <w:t>The data cited by DEER is not exactly applicable to the measures because the DEER data are scaled and converted to the appropriate savings per unit for incentive purposes. See the calculation section (2) for this conversion.</w:t>
      </w:r>
      <w:r>
        <w:rPr>
          <w:rFonts w:asciiTheme="minorHAnsi" w:hAnsiTheme="minorHAnsi" w:cstheme="minorHAnsi"/>
          <w:i w:val="0"/>
          <w:color w:val="auto"/>
          <w:szCs w:val="22"/>
        </w:rPr>
        <w:t xml:space="preserve">  </w:t>
      </w:r>
      <w:r w:rsidR="001E0CD3" w:rsidRPr="001E0CD3">
        <w:rPr>
          <w:rFonts w:asciiTheme="minorHAnsi" w:hAnsiTheme="minorHAnsi" w:cstheme="minorHAnsi"/>
          <w:i w:val="0"/>
          <w:color w:val="auto"/>
          <w:szCs w:val="22"/>
        </w:rPr>
        <w:t>DEER values are used for Net-to-Gross, EUL, and ISR.</w:t>
      </w:r>
    </w:p>
    <w:p w:rsidR="009E1CDE" w:rsidRPr="00397406" w:rsidRDefault="009E1CDE" w:rsidP="00E16609">
      <w:pPr>
        <w:rPr>
          <w:rFonts w:cstheme="minorHAnsi"/>
          <w:szCs w:val="22"/>
        </w:rPr>
      </w:pPr>
    </w:p>
    <w:p w:rsidR="009E1CDE" w:rsidRPr="00397406" w:rsidRDefault="009E1CDE" w:rsidP="009E1CDE">
      <w:pPr>
        <w:pStyle w:val="Caption"/>
        <w:keepNext/>
        <w:jc w:val="center"/>
        <w:rPr>
          <w:rFonts w:cstheme="minorHAnsi"/>
          <w:szCs w:val="22"/>
        </w:rPr>
      </w:pPr>
      <w:bookmarkStart w:id="10" w:name="_Ref3987328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864B9E">
        <w:rPr>
          <w:rFonts w:cstheme="minorHAnsi"/>
          <w:noProof/>
          <w:szCs w:val="22"/>
        </w:rPr>
        <w:t>2</w:t>
      </w:r>
      <w:r w:rsidRPr="00397406">
        <w:rPr>
          <w:rFonts w:cstheme="minorHAnsi"/>
          <w:szCs w:val="22"/>
        </w:rPr>
        <w:fldChar w:fldCharType="end"/>
      </w:r>
      <w:bookmarkEnd w:id="10"/>
      <w:r w:rsidR="001D3223" w:rsidRPr="00397406">
        <w:rPr>
          <w:rFonts w:cstheme="minorHAnsi"/>
          <w:szCs w:val="22"/>
        </w:rPr>
        <w:t>:</w:t>
      </w:r>
      <w:r w:rsidRPr="00397406">
        <w:rPr>
          <w:rFonts w:cstheme="minorHAnsi"/>
          <w:szCs w:val="22"/>
        </w:rPr>
        <w:t xml:space="preserve"> DEER Difference </w:t>
      </w:r>
      <w:r w:rsidR="00E81F3E" w:rsidRPr="00397406">
        <w:rPr>
          <w:rFonts w:cstheme="minorHAnsi"/>
          <w:szCs w:val="22"/>
        </w:rPr>
        <w:t>Summary</w:t>
      </w:r>
    </w:p>
    <w:tbl>
      <w:tblPr>
        <w:tblStyle w:val="TableContemporary"/>
        <w:tblW w:w="0" w:type="auto"/>
        <w:jc w:val="center"/>
        <w:tblInd w:w="-6822" w:type="dxa"/>
        <w:tblLook w:val="04A0" w:firstRow="1" w:lastRow="0" w:firstColumn="1" w:lastColumn="0" w:noHBand="0" w:noVBand="1"/>
      </w:tblPr>
      <w:tblGrid>
        <w:gridCol w:w="3118"/>
        <w:gridCol w:w="6183"/>
      </w:tblGrid>
      <w:tr w:rsidR="006D2809"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9301" w:type="dxa"/>
            <w:gridSpan w:val="2"/>
          </w:tcPr>
          <w:p w:rsidR="006D2809" w:rsidRPr="00324D76" w:rsidRDefault="006D2809" w:rsidP="005729C8">
            <w:pPr>
              <w:rPr>
                <w:rFonts w:asciiTheme="minorHAnsi" w:hAnsiTheme="minorHAnsi" w:cstheme="minorHAnsi"/>
                <w:sz w:val="22"/>
                <w:szCs w:val="22"/>
              </w:rPr>
            </w:pPr>
            <w:r w:rsidRPr="00324D76">
              <w:rPr>
                <w:rFonts w:asciiTheme="minorHAnsi" w:hAnsiTheme="minorHAnsi" w:cstheme="minorHAnsi"/>
                <w:sz w:val="22"/>
                <w:szCs w:val="22"/>
              </w:rPr>
              <w:t>DEER Difference Summary Table</w:t>
            </w:r>
          </w:p>
        </w:tc>
      </w:tr>
      <w:tr w:rsidR="000E706D"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0E706D" w:rsidRPr="00324D76" w:rsidRDefault="001722B7" w:rsidP="005729C8">
            <w:pPr>
              <w:rPr>
                <w:rFonts w:asciiTheme="minorHAnsi" w:hAnsiTheme="minorHAnsi" w:cstheme="minorHAnsi"/>
                <w:sz w:val="22"/>
                <w:szCs w:val="22"/>
              </w:rPr>
            </w:pPr>
            <w:r w:rsidRPr="00324D76">
              <w:rPr>
                <w:rFonts w:asciiTheme="minorHAnsi" w:hAnsiTheme="minorHAnsi" w:cstheme="minorHAnsi"/>
                <w:sz w:val="22"/>
                <w:szCs w:val="22"/>
              </w:rPr>
              <w:t>Referenced v</w:t>
            </w:r>
            <w:r w:rsidR="000E706D" w:rsidRPr="00324D76">
              <w:rPr>
                <w:rFonts w:asciiTheme="minorHAnsi" w:hAnsiTheme="minorHAnsi" w:cstheme="minorHAnsi"/>
                <w:sz w:val="22"/>
                <w:szCs w:val="22"/>
              </w:rPr>
              <w:t>ersion</w:t>
            </w:r>
            <w:r w:rsidRPr="00324D76">
              <w:rPr>
                <w:rFonts w:asciiTheme="minorHAnsi" w:hAnsiTheme="minorHAnsi" w:cstheme="minorHAnsi"/>
                <w:sz w:val="22"/>
                <w:szCs w:val="22"/>
              </w:rPr>
              <w:t>s</w:t>
            </w:r>
            <w:r w:rsidR="000E706D" w:rsidRPr="00324D76">
              <w:rPr>
                <w:rFonts w:asciiTheme="minorHAnsi" w:hAnsiTheme="minorHAnsi" w:cstheme="minorHAnsi"/>
                <w:sz w:val="22"/>
                <w:szCs w:val="22"/>
              </w:rPr>
              <w:t xml:space="preserve"> of DEER</w:t>
            </w:r>
            <w:r w:rsidRPr="00324D76">
              <w:rPr>
                <w:rFonts w:asciiTheme="minorHAnsi" w:hAnsiTheme="minorHAnsi" w:cstheme="minorHAnsi"/>
                <w:sz w:val="22"/>
                <w:szCs w:val="22"/>
              </w:rPr>
              <w:t xml:space="preserve"> and READI</w:t>
            </w:r>
          </w:p>
        </w:tc>
        <w:tc>
          <w:tcPr>
            <w:tcW w:w="6183" w:type="dxa"/>
          </w:tcPr>
          <w:p w:rsidR="000E706D" w:rsidRPr="00324D76" w:rsidRDefault="00CD4D28" w:rsidP="005729C8">
            <w:pPr>
              <w:rPr>
                <w:rFonts w:asciiTheme="minorHAnsi" w:hAnsiTheme="minorHAnsi" w:cstheme="minorHAnsi"/>
                <w:sz w:val="22"/>
                <w:szCs w:val="22"/>
              </w:rPr>
            </w:pPr>
            <w:r>
              <w:rPr>
                <w:rFonts w:asciiTheme="minorHAnsi" w:hAnsiTheme="minorHAnsi" w:cstheme="minorHAnsi"/>
                <w:sz w:val="22"/>
                <w:szCs w:val="22"/>
              </w:rPr>
              <w:t>DEER2016</w:t>
            </w:r>
            <w:r w:rsidRPr="00324D76">
              <w:rPr>
                <w:rFonts w:asciiTheme="minorHAnsi" w:hAnsiTheme="minorHAnsi" w:cstheme="minorHAnsi"/>
                <w:sz w:val="22"/>
                <w:szCs w:val="22"/>
              </w:rPr>
              <w:t xml:space="preserve">, </w:t>
            </w:r>
            <w:proofErr w:type="spellStart"/>
            <w:r w:rsidRPr="00324D76">
              <w:rPr>
                <w:rFonts w:asciiTheme="minorHAnsi" w:hAnsiTheme="minorHAnsi" w:cstheme="minorHAnsi"/>
                <w:sz w:val="22"/>
                <w:szCs w:val="22"/>
              </w:rPr>
              <w:t>READi</w:t>
            </w:r>
            <w:proofErr w:type="spellEnd"/>
            <w:r w:rsidRPr="00324D76">
              <w:rPr>
                <w:rFonts w:asciiTheme="minorHAnsi" w:hAnsiTheme="minorHAnsi" w:cstheme="minorHAnsi"/>
                <w:sz w:val="22"/>
                <w:szCs w:val="22"/>
              </w:rPr>
              <w:t xml:space="preserve"> </w:t>
            </w:r>
            <w:r>
              <w:rPr>
                <w:rFonts w:asciiTheme="minorHAnsi" w:hAnsiTheme="minorHAnsi" w:cstheme="minorHAnsi"/>
                <w:sz w:val="22"/>
                <w:szCs w:val="22"/>
              </w:rPr>
              <w:t>v.</w:t>
            </w:r>
            <w:r w:rsidR="006E17DD">
              <w:rPr>
                <w:rFonts w:asciiTheme="minorHAnsi" w:hAnsiTheme="minorHAnsi" w:cstheme="minorHAnsi"/>
                <w:sz w:val="22"/>
                <w:szCs w:val="22"/>
              </w:rPr>
              <w:t>2.4.7</w:t>
            </w:r>
          </w:p>
        </w:tc>
      </w:tr>
      <w:tr w:rsidR="00904ADA"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904ADA" w:rsidRPr="00324D76" w:rsidRDefault="00904ADA" w:rsidP="005729C8">
            <w:pPr>
              <w:rPr>
                <w:rFonts w:asciiTheme="minorHAnsi" w:hAnsiTheme="minorHAnsi" w:cstheme="minorHAnsi"/>
                <w:sz w:val="22"/>
                <w:szCs w:val="22"/>
              </w:rPr>
            </w:pPr>
            <w:r w:rsidRPr="00324D76">
              <w:rPr>
                <w:rFonts w:asciiTheme="minorHAnsi" w:hAnsiTheme="minorHAnsi" w:cstheme="minorHAnsi"/>
                <w:sz w:val="22"/>
                <w:szCs w:val="22"/>
              </w:rPr>
              <w:t>Summary of deviation from DEER</w:t>
            </w:r>
          </w:p>
        </w:tc>
        <w:tc>
          <w:tcPr>
            <w:tcW w:w="6183" w:type="dxa"/>
          </w:tcPr>
          <w:p w:rsidR="00904ADA" w:rsidRPr="00324D76" w:rsidRDefault="00517A18" w:rsidP="00324D76">
            <w:pPr>
              <w:rPr>
                <w:rFonts w:asciiTheme="minorHAnsi" w:hAnsiTheme="minorHAnsi" w:cstheme="minorHAnsi"/>
                <w:sz w:val="22"/>
                <w:szCs w:val="22"/>
              </w:rPr>
            </w:pPr>
            <w:r w:rsidRPr="00324D76">
              <w:rPr>
                <w:rFonts w:ascii="Calibri" w:hAnsi="Calibri" w:cs="Calibri"/>
                <w:color w:val="000000"/>
                <w:sz w:val="22"/>
                <w:szCs w:val="22"/>
              </w:rPr>
              <w:t>Use Engineering Calculation</w:t>
            </w:r>
            <w:r w:rsidR="00324D76" w:rsidRPr="00324D76">
              <w:rPr>
                <w:rFonts w:ascii="Calibri" w:hAnsi="Calibri" w:cs="Calibri"/>
                <w:color w:val="000000"/>
                <w:sz w:val="22"/>
                <w:szCs w:val="22"/>
              </w:rPr>
              <w:t xml:space="preserve"> to convert DEER unit of “per Area-1kFP” to</w:t>
            </w:r>
            <w:r w:rsidR="00324D76">
              <w:rPr>
                <w:rFonts w:ascii="Calibri" w:hAnsi="Calibri" w:cs="Calibri"/>
                <w:color w:val="000000"/>
                <w:sz w:val="22"/>
                <w:szCs w:val="22"/>
              </w:rPr>
              <w:t xml:space="preserve"> a </w:t>
            </w:r>
            <w:r w:rsidR="00324D76" w:rsidRPr="00324D76">
              <w:rPr>
                <w:rFonts w:ascii="Calibri" w:hAnsi="Calibri" w:cs="Calibri"/>
                <w:color w:val="000000"/>
                <w:sz w:val="22"/>
                <w:szCs w:val="22"/>
              </w:rPr>
              <w:t>“per furnace/each” basis.</w:t>
            </w:r>
            <w:r w:rsidRPr="00324D76">
              <w:rPr>
                <w:rFonts w:ascii="Calibri" w:hAnsi="Calibri" w:cs="Calibri"/>
                <w:color w:val="000000"/>
                <w:sz w:val="22"/>
                <w:szCs w:val="22"/>
              </w:rPr>
              <w:t xml:space="preserve"> </w:t>
            </w:r>
          </w:p>
        </w:tc>
      </w:tr>
      <w:tr w:rsidR="00447CE5"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447CE5" w:rsidRPr="00324D76" w:rsidRDefault="00447CE5"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r w:rsidR="000E706D" w:rsidRPr="00324D76">
              <w:rPr>
                <w:rFonts w:asciiTheme="minorHAnsi" w:hAnsiTheme="minorHAnsi" w:cstheme="minorHAnsi"/>
                <w:sz w:val="22"/>
                <w:szCs w:val="22"/>
              </w:rPr>
              <w:t>m</w:t>
            </w:r>
            <w:r w:rsidRPr="00324D76">
              <w:rPr>
                <w:rFonts w:asciiTheme="minorHAnsi" w:hAnsiTheme="minorHAnsi" w:cstheme="minorHAnsi"/>
                <w:sz w:val="22"/>
                <w:szCs w:val="22"/>
              </w:rPr>
              <w:t>easure</w:t>
            </w:r>
            <w:r w:rsidR="000E706D" w:rsidRPr="00324D76">
              <w:rPr>
                <w:rFonts w:asciiTheme="minorHAnsi" w:hAnsiTheme="minorHAnsi" w:cstheme="minorHAnsi"/>
                <w:sz w:val="22"/>
                <w:szCs w:val="22"/>
              </w:rPr>
              <w:t xml:space="preserve">s </w:t>
            </w:r>
            <w:r w:rsidR="00904ADA" w:rsidRPr="00324D76">
              <w:rPr>
                <w:rFonts w:asciiTheme="minorHAnsi" w:hAnsiTheme="minorHAnsi" w:cstheme="minorHAnsi"/>
                <w:sz w:val="22"/>
                <w:szCs w:val="22"/>
              </w:rPr>
              <w:t>s</w:t>
            </w:r>
            <w:r w:rsidR="000E706D" w:rsidRPr="00324D76">
              <w:rPr>
                <w:rFonts w:asciiTheme="minorHAnsi" w:hAnsiTheme="minorHAnsi" w:cstheme="minorHAnsi"/>
                <w:sz w:val="22"/>
                <w:szCs w:val="22"/>
              </w:rPr>
              <w:t>caled?</w:t>
            </w:r>
          </w:p>
        </w:tc>
        <w:tc>
          <w:tcPr>
            <w:tcW w:w="6183" w:type="dxa"/>
          </w:tcPr>
          <w:p w:rsidR="00447CE5" w:rsidRPr="00324D76" w:rsidRDefault="00C45B63" w:rsidP="005729C8">
            <w:pPr>
              <w:rPr>
                <w:rFonts w:asciiTheme="minorHAnsi" w:hAnsiTheme="minorHAnsi" w:cstheme="minorHAnsi"/>
                <w:sz w:val="22"/>
                <w:szCs w:val="22"/>
              </w:rPr>
            </w:pPr>
            <w:r>
              <w:rPr>
                <w:rFonts w:asciiTheme="minorHAnsi" w:hAnsiTheme="minorHAnsi" w:cstheme="minorHAnsi"/>
                <w:sz w:val="22"/>
                <w:szCs w:val="22"/>
              </w:rPr>
              <w:t>Yes, only for electric</w:t>
            </w:r>
            <w:r w:rsidR="005509EF">
              <w:rPr>
                <w:rFonts w:asciiTheme="minorHAnsi" w:hAnsiTheme="minorHAnsi" w:cstheme="minorHAnsi"/>
                <w:sz w:val="22"/>
                <w:szCs w:val="22"/>
              </w:rPr>
              <w:t>al</w:t>
            </w:r>
            <w:r>
              <w:rPr>
                <w:rFonts w:asciiTheme="minorHAnsi" w:hAnsiTheme="minorHAnsi" w:cstheme="minorHAnsi"/>
                <w:sz w:val="22"/>
                <w:szCs w:val="22"/>
              </w:rPr>
              <w:t xml:space="preserve"> energy savings</w:t>
            </w:r>
          </w:p>
        </w:tc>
      </w:tr>
      <w:tr w:rsidR="00E81F3E"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E81F3E" w:rsidRPr="00324D76" w:rsidRDefault="00E81F3E"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proofErr w:type="spellStart"/>
            <w:r w:rsidR="000E706D" w:rsidRPr="00324D76">
              <w:rPr>
                <w:rFonts w:asciiTheme="minorHAnsi" w:hAnsiTheme="minorHAnsi" w:cstheme="minorHAnsi"/>
                <w:sz w:val="22"/>
                <w:szCs w:val="22"/>
              </w:rPr>
              <w:t>eQUEST</w:t>
            </w:r>
            <w:proofErr w:type="spellEnd"/>
            <w:r w:rsidRPr="00324D76">
              <w:rPr>
                <w:rFonts w:asciiTheme="minorHAnsi" w:hAnsiTheme="minorHAnsi" w:cstheme="minorHAnsi"/>
                <w:sz w:val="22"/>
                <w:szCs w:val="22"/>
              </w:rPr>
              <w:t xml:space="preserve"> </w:t>
            </w:r>
            <w:r w:rsidR="000E706D" w:rsidRPr="00324D76">
              <w:rPr>
                <w:rFonts w:asciiTheme="minorHAnsi" w:hAnsiTheme="minorHAnsi" w:cstheme="minorHAnsi"/>
                <w:sz w:val="22"/>
                <w:szCs w:val="22"/>
              </w:rPr>
              <w:t>p</w:t>
            </w:r>
            <w:r w:rsidRPr="00324D76">
              <w:rPr>
                <w:rFonts w:asciiTheme="minorHAnsi" w:hAnsiTheme="minorHAnsi" w:cstheme="minorHAnsi"/>
                <w:sz w:val="22"/>
                <w:szCs w:val="22"/>
              </w:rPr>
              <w:t xml:space="preserve">rototypes </w:t>
            </w:r>
            <w:r w:rsidR="000E706D" w:rsidRPr="00324D76">
              <w:rPr>
                <w:rFonts w:asciiTheme="minorHAnsi" w:hAnsiTheme="minorHAnsi" w:cstheme="minorHAnsi"/>
                <w:sz w:val="22"/>
                <w:szCs w:val="22"/>
              </w:rPr>
              <w:t>u</w:t>
            </w:r>
            <w:r w:rsidRPr="00324D76">
              <w:rPr>
                <w:rFonts w:asciiTheme="minorHAnsi" w:hAnsiTheme="minorHAnsi" w:cstheme="minorHAnsi"/>
                <w:sz w:val="22"/>
                <w:szCs w:val="22"/>
              </w:rPr>
              <w:t>sed</w:t>
            </w:r>
            <w:r w:rsidR="000E706D" w:rsidRPr="00324D76">
              <w:rPr>
                <w:rFonts w:asciiTheme="minorHAnsi" w:hAnsiTheme="minorHAnsi" w:cstheme="minorHAnsi"/>
                <w:sz w:val="22"/>
                <w:szCs w:val="22"/>
              </w:rPr>
              <w:t>?</w:t>
            </w:r>
          </w:p>
        </w:tc>
        <w:tc>
          <w:tcPr>
            <w:tcW w:w="6183" w:type="dxa"/>
          </w:tcPr>
          <w:p w:rsidR="00E81F3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r w:rsidR="00FE286E"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FE286E" w:rsidRPr="00324D76" w:rsidRDefault="000E706D" w:rsidP="005729C8">
            <w:pPr>
              <w:rPr>
                <w:rFonts w:asciiTheme="minorHAnsi" w:hAnsiTheme="minorHAnsi" w:cstheme="minorHAnsi"/>
                <w:sz w:val="22"/>
                <w:szCs w:val="22"/>
              </w:rPr>
            </w:pPr>
            <w:r w:rsidRPr="00324D76">
              <w:rPr>
                <w:rFonts w:asciiTheme="minorHAnsi" w:hAnsiTheme="minorHAnsi" w:cstheme="minorHAnsi"/>
                <w:sz w:val="22"/>
                <w:szCs w:val="22"/>
              </w:rPr>
              <w:t>DEER operating h</w:t>
            </w:r>
            <w:r w:rsidR="00FE286E" w:rsidRPr="00324D76">
              <w:rPr>
                <w:rFonts w:asciiTheme="minorHAnsi" w:hAnsiTheme="minorHAnsi" w:cstheme="minorHAnsi"/>
                <w:sz w:val="22"/>
                <w:szCs w:val="22"/>
              </w:rPr>
              <w:t xml:space="preserve">ours </w:t>
            </w:r>
            <w:r w:rsidRPr="00324D76">
              <w:rPr>
                <w:rFonts w:asciiTheme="minorHAnsi" w:hAnsiTheme="minorHAnsi" w:cstheme="minorHAnsi"/>
                <w:sz w:val="22"/>
                <w:szCs w:val="22"/>
              </w:rPr>
              <w:t>u</w:t>
            </w:r>
            <w:r w:rsidR="00FE286E" w:rsidRPr="00324D76">
              <w:rPr>
                <w:rFonts w:asciiTheme="minorHAnsi" w:hAnsiTheme="minorHAnsi" w:cstheme="minorHAnsi"/>
                <w:sz w:val="22"/>
                <w:szCs w:val="22"/>
              </w:rPr>
              <w:t>sed</w:t>
            </w:r>
            <w:r w:rsidRPr="00324D76">
              <w:rPr>
                <w:rFonts w:asciiTheme="minorHAnsi" w:hAnsiTheme="minorHAnsi" w:cstheme="minorHAnsi"/>
                <w:sz w:val="22"/>
                <w:szCs w:val="22"/>
              </w:rPr>
              <w:t>?</w:t>
            </w:r>
          </w:p>
        </w:tc>
        <w:tc>
          <w:tcPr>
            <w:tcW w:w="6183" w:type="dxa"/>
          </w:tcPr>
          <w:p w:rsidR="00FE286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bl>
    <w:p w:rsidR="00472250" w:rsidRPr="00397406" w:rsidRDefault="00472250" w:rsidP="00472250">
      <w:pPr>
        <w:pStyle w:val="Reminders"/>
        <w:rPr>
          <w:rFonts w:asciiTheme="minorHAnsi" w:hAnsiTheme="minorHAnsi" w:cstheme="minorHAnsi"/>
          <w:b/>
          <w:i w:val="0"/>
          <w:color w:val="auto"/>
          <w:szCs w:val="22"/>
        </w:rPr>
      </w:pPr>
      <w:bookmarkStart w:id="11" w:name="_Toc214003087"/>
    </w:p>
    <w:p w:rsidR="00397249" w:rsidRPr="00397249" w:rsidRDefault="00472250" w:rsidP="00472250">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Net-to-Gross Ratio</w:t>
      </w:r>
    </w:p>
    <w:p w:rsidR="000968C6" w:rsidRPr="00397406" w:rsidRDefault="00CD4D28" w:rsidP="000968C6">
      <w:pPr>
        <w:rPr>
          <w:rFonts w:cstheme="minorHAnsi"/>
          <w:szCs w:val="22"/>
        </w:rPr>
      </w:pPr>
      <w:r w:rsidRPr="00697868">
        <w:rPr>
          <w:rFonts w:cstheme="minorHAnsi"/>
          <w:szCs w:val="22"/>
        </w:rPr>
        <w:t>T</w:t>
      </w:r>
      <w:r>
        <w:rPr>
          <w:rFonts w:cstheme="minorHAnsi"/>
          <w:szCs w:val="22"/>
        </w:rPr>
        <w:t xml:space="preserve">he NTG value was obtained from </w:t>
      </w:r>
      <w:proofErr w:type="spellStart"/>
      <w:r w:rsidRPr="00324D76">
        <w:rPr>
          <w:rFonts w:cstheme="minorHAnsi"/>
          <w:szCs w:val="22"/>
        </w:rPr>
        <w:t>READi</w:t>
      </w:r>
      <w:proofErr w:type="spellEnd"/>
      <w:r w:rsidRPr="00324D76">
        <w:rPr>
          <w:rFonts w:cstheme="minorHAnsi"/>
          <w:szCs w:val="22"/>
        </w:rPr>
        <w:t xml:space="preserve"> </w:t>
      </w:r>
      <w:r>
        <w:rPr>
          <w:rFonts w:cstheme="minorHAnsi"/>
          <w:szCs w:val="22"/>
        </w:rPr>
        <w:t>v.</w:t>
      </w:r>
      <w:r w:rsidR="006E17DD">
        <w:rPr>
          <w:rFonts w:cstheme="minorHAnsi"/>
          <w:szCs w:val="22"/>
        </w:rPr>
        <w:t>2.4.7</w:t>
      </w:r>
      <w:r w:rsidRPr="00697868">
        <w:rPr>
          <w:rFonts w:cstheme="minorHAnsi"/>
          <w:szCs w:val="22"/>
        </w:rPr>
        <w:t xml:space="preserve">. The relevant NTGR for this measure is shown in </w:t>
      </w:r>
      <w:r>
        <w:rPr>
          <w:rFonts w:cstheme="minorHAnsi"/>
          <w:szCs w:val="22"/>
        </w:rPr>
        <w:t xml:space="preserve">Table 3 </w:t>
      </w:r>
      <w:r w:rsidRPr="00697868">
        <w:rPr>
          <w:rFonts w:cstheme="minorHAnsi"/>
          <w:szCs w:val="22"/>
        </w:rPr>
        <w:t>below.</w:t>
      </w:r>
    </w:p>
    <w:p w:rsidR="000968C6" w:rsidRPr="00397406" w:rsidRDefault="000968C6" w:rsidP="000968C6">
      <w:pPr>
        <w:pStyle w:val="Caption"/>
        <w:jc w:val="center"/>
        <w:rPr>
          <w:rFonts w:cstheme="minorHAnsi"/>
          <w:szCs w:val="22"/>
        </w:rPr>
      </w:pPr>
      <w:bookmarkStart w:id="12" w:name="_Ref3779041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864B9E">
        <w:rPr>
          <w:rFonts w:cstheme="minorHAnsi"/>
          <w:noProof/>
          <w:szCs w:val="22"/>
        </w:rPr>
        <w:t>3</w:t>
      </w:r>
      <w:r w:rsidRPr="00397406">
        <w:rPr>
          <w:rFonts w:cstheme="minorHAnsi"/>
          <w:szCs w:val="22"/>
        </w:rPr>
        <w:fldChar w:fldCharType="end"/>
      </w:r>
      <w:bookmarkEnd w:id="12"/>
      <w:r w:rsidR="001D3223" w:rsidRPr="00397406">
        <w:rPr>
          <w:rFonts w:cstheme="minorHAnsi"/>
          <w:szCs w:val="22"/>
        </w:rPr>
        <w:t>:</w:t>
      </w:r>
      <w:r w:rsidRPr="00397406">
        <w:rPr>
          <w:rFonts w:cstheme="minorHAnsi"/>
          <w:szCs w:val="22"/>
        </w:rPr>
        <w:t xml:space="preserve"> Net-to-Gross Ratio</w:t>
      </w:r>
    </w:p>
    <w:tbl>
      <w:tblPr>
        <w:tblStyle w:val="TableContemporary"/>
        <w:tblW w:w="4869" w:type="pct"/>
        <w:jc w:val="center"/>
        <w:tblInd w:w="251" w:type="dxa"/>
        <w:tblLook w:val="01E0" w:firstRow="1" w:lastRow="1" w:firstColumn="1" w:lastColumn="1" w:noHBand="0" w:noVBand="0"/>
      </w:tblPr>
      <w:tblGrid>
        <w:gridCol w:w="1494"/>
        <w:gridCol w:w="3577"/>
        <w:gridCol w:w="970"/>
        <w:gridCol w:w="1171"/>
        <w:gridCol w:w="1386"/>
        <w:gridCol w:w="727"/>
      </w:tblGrid>
      <w:tr w:rsidR="00907697" w:rsidRPr="00397406" w:rsidTr="00324D76">
        <w:trPr>
          <w:cnfStyle w:val="100000000000" w:firstRow="1" w:lastRow="0" w:firstColumn="0" w:lastColumn="0" w:oddVBand="0" w:evenVBand="0" w:oddHBand="0" w:evenHBand="0" w:firstRowFirstColumn="0" w:firstRowLastColumn="0" w:lastRowFirstColumn="0" w:lastRowLastColumn="0"/>
          <w:jc w:val="center"/>
        </w:trPr>
        <w:tc>
          <w:tcPr>
            <w:tcW w:w="801" w:type="pct"/>
          </w:tcPr>
          <w:p w:rsidR="000968C6" w:rsidRPr="000407BD" w:rsidRDefault="005729C8" w:rsidP="005729C8">
            <w:pPr>
              <w:rPr>
                <w:rFonts w:asciiTheme="minorHAnsi" w:hAnsiTheme="minorHAnsi" w:cstheme="minorHAnsi"/>
                <w:sz w:val="22"/>
                <w:szCs w:val="22"/>
              </w:rPr>
            </w:pPr>
            <w:r w:rsidRPr="000407BD">
              <w:rPr>
                <w:rFonts w:asciiTheme="minorHAnsi" w:hAnsiTheme="minorHAnsi" w:cstheme="minorHAnsi"/>
                <w:sz w:val="22"/>
                <w:szCs w:val="22"/>
              </w:rPr>
              <w:t xml:space="preserve">NTGR </w:t>
            </w:r>
            <w:r w:rsidR="00FB2590" w:rsidRPr="000407BD">
              <w:rPr>
                <w:rFonts w:asciiTheme="minorHAnsi" w:hAnsiTheme="minorHAnsi" w:cstheme="minorHAnsi"/>
                <w:sz w:val="22"/>
                <w:szCs w:val="22"/>
              </w:rPr>
              <w:t>ID</w:t>
            </w:r>
          </w:p>
        </w:tc>
        <w:tc>
          <w:tcPr>
            <w:tcW w:w="1918"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520" w:type="pct"/>
          </w:tcPr>
          <w:p w:rsidR="000968C6" w:rsidRPr="000407BD" w:rsidRDefault="000968C6"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628" w:type="pct"/>
          </w:tcPr>
          <w:p w:rsidR="000968C6" w:rsidRPr="000407BD" w:rsidRDefault="00FB2590" w:rsidP="005729C8">
            <w:pPr>
              <w:rPr>
                <w:rFonts w:asciiTheme="minorHAnsi" w:hAnsiTheme="minorHAnsi" w:cstheme="minorHAnsi"/>
                <w:sz w:val="22"/>
                <w:szCs w:val="22"/>
              </w:rPr>
            </w:pPr>
            <w:proofErr w:type="spellStart"/>
            <w:r w:rsidRPr="000407BD">
              <w:rPr>
                <w:rFonts w:asciiTheme="minorHAnsi" w:hAnsiTheme="minorHAnsi" w:cstheme="minorHAnsi"/>
                <w:sz w:val="22"/>
                <w:szCs w:val="22"/>
              </w:rPr>
              <w:t>BldgType</w:t>
            </w:r>
            <w:proofErr w:type="spellEnd"/>
          </w:p>
        </w:tc>
        <w:tc>
          <w:tcPr>
            <w:tcW w:w="743" w:type="pct"/>
          </w:tcPr>
          <w:p w:rsidR="000968C6" w:rsidRPr="000407BD" w:rsidRDefault="000968C6" w:rsidP="005729C8">
            <w:pPr>
              <w:rPr>
                <w:rFonts w:asciiTheme="minorHAnsi" w:hAnsiTheme="minorHAnsi" w:cstheme="minorHAnsi"/>
                <w:sz w:val="22"/>
                <w:szCs w:val="22"/>
              </w:rPr>
            </w:pPr>
            <w:proofErr w:type="spellStart"/>
            <w:r w:rsidRPr="000407BD">
              <w:rPr>
                <w:rFonts w:asciiTheme="minorHAnsi" w:hAnsiTheme="minorHAnsi" w:cstheme="minorHAnsi"/>
                <w:sz w:val="22"/>
                <w:szCs w:val="22"/>
              </w:rPr>
              <w:t>ProgDelivID</w:t>
            </w:r>
            <w:proofErr w:type="spellEnd"/>
          </w:p>
        </w:tc>
        <w:tc>
          <w:tcPr>
            <w:tcW w:w="391"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NTG</w:t>
            </w:r>
          </w:p>
        </w:tc>
      </w:tr>
      <w:tr w:rsidR="00907697" w:rsidRPr="00397406" w:rsidTr="00324D76">
        <w:trPr>
          <w:cnfStyle w:val="000000100000" w:firstRow="0" w:lastRow="0" w:firstColumn="0" w:lastColumn="0" w:oddVBand="0" w:evenVBand="0" w:oddHBand="1" w:evenHBand="0" w:firstRowFirstColumn="0" w:firstRowLastColumn="0" w:lastRowFirstColumn="0" w:lastRowLastColumn="0"/>
          <w:jc w:val="center"/>
        </w:trPr>
        <w:tc>
          <w:tcPr>
            <w:tcW w:w="801" w:type="pct"/>
          </w:tcPr>
          <w:p w:rsidR="00907697" w:rsidRPr="000407BD" w:rsidRDefault="00324D76" w:rsidP="005729C8">
            <w:pPr>
              <w:rPr>
                <w:rFonts w:asciiTheme="minorHAnsi" w:hAnsiTheme="minorHAnsi"/>
                <w:sz w:val="22"/>
                <w:szCs w:val="22"/>
              </w:rPr>
            </w:pPr>
            <w:r>
              <w:rPr>
                <w:rFonts w:asciiTheme="minorHAnsi" w:hAnsiTheme="minorHAnsi"/>
                <w:sz w:val="22"/>
                <w:szCs w:val="22"/>
              </w:rPr>
              <w:t>Com-Default&gt;2yrs</w:t>
            </w:r>
          </w:p>
        </w:tc>
        <w:tc>
          <w:tcPr>
            <w:tcW w:w="1918" w:type="pct"/>
          </w:tcPr>
          <w:p w:rsidR="00907697" w:rsidRPr="000407BD" w:rsidRDefault="00324D76" w:rsidP="005729C8">
            <w:pPr>
              <w:rPr>
                <w:rFonts w:asciiTheme="minorHAnsi" w:hAnsiTheme="minorHAnsi"/>
                <w:sz w:val="22"/>
                <w:szCs w:val="22"/>
              </w:rPr>
            </w:pPr>
            <w:r w:rsidRPr="00324D76">
              <w:rPr>
                <w:rFonts w:asciiTheme="minorHAnsi" w:hAnsiTheme="minorHAnsi"/>
                <w:sz w:val="22"/>
                <w:szCs w:val="22"/>
              </w:rPr>
              <w:t>All other EEMs with no evaluated NTGR; existing EEM in programs with same delivery mechanism for more than 2 years</w:t>
            </w:r>
          </w:p>
        </w:tc>
        <w:tc>
          <w:tcPr>
            <w:tcW w:w="520"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28"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743" w:type="pct"/>
          </w:tcPr>
          <w:p w:rsidR="00907697" w:rsidRPr="000407BD" w:rsidRDefault="00BD418E" w:rsidP="005729C8">
            <w:pPr>
              <w:rPr>
                <w:rFonts w:asciiTheme="minorHAnsi" w:hAnsiTheme="minorHAnsi"/>
                <w:sz w:val="22"/>
                <w:szCs w:val="22"/>
              </w:rPr>
            </w:pPr>
            <w:proofErr w:type="spellStart"/>
            <w:r w:rsidRPr="000407BD">
              <w:rPr>
                <w:rFonts w:asciiTheme="minorHAnsi" w:hAnsiTheme="minorHAnsi"/>
                <w:sz w:val="22"/>
                <w:szCs w:val="22"/>
              </w:rPr>
              <w:t>PreRebDown</w:t>
            </w:r>
            <w:proofErr w:type="spellEnd"/>
          </w:p>
        </w:tc>
        <w:tc>
          <w:tcPr>
            <w:tcW w:w="391" w:type="pct"/>
          </w:tcPr>
          <w:p w:rsidR="00907697" w:rsidRPr="000407BD" w:rsidRDefault="00324D76" w:rsidP="005729C8">
            <w:pPr>
              <w:rPr>
                <w:rFonts w:asciiTheme="minorHAnsi" w:hAnsiTheme="minorHAnsi"/>
                <w:sz w:val="22"/>
                <w:szCs w:val="22"/>
              </w:rPr>
            </w:pPr>
            <w:r>
              <w:rPr>
                <w:rFonts w:asciiTheme="minorHAnsi" w:hAnsiTheme="minorHAnsi"/>
                <w:sz w:val="22"/>
                <w:szCs w:val="22"/>
              </w:rPr>
              <w:t>0.60</w:t>
            </w:r>
          </w:p>
        </w:tc>
      </w:tr>
    </w:tbl>
    <w:p w:rsidR="000968C6" w:rsidRPr="00397406" w:rsidRDefault="000968C6" w:rsidP="000968C6">
      <w:pPr>
        <w:pStyle w:val="Reminders"/>
        <w:rPr>
          <w:rFonts w:asciiTheme="minorHAnsi" w:hAnsiTheme="minorHAnsi" w:cstheme="minorHAnsi"/>
          <w:i w:val="0"/>
          <w:color w:val="auto"/>
          <w:sz w:val="20"/>
          <w:szCs w:val="20"/>
        </w:rPr>
      </w:pPr>
    </w:p>
    <w:p w:rsidR="000968C6" w:rsidRPr="00397406" w:rsidRDefault="000968C6"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Installation Rate</w:t>
      </w:r>
    </w:p>
    <w:p w:rsidR="00472250" w:rsidRPr="00397406" w:rsidRDefault="000968C6" w:rsidP="00472250">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Th</w:t>
      </w:r>
      <w:r w:rsidR="00061A8E" w:rsidRPr="00397406">
        <w:rPr>
          <w:rFonts w:asciiTheme="minorHAnsi" w:hAnsiTheme="minorHAnsi" w:cstheme="minorHAnsi"/>
          <w:i w:val="0"/>
          <w:color w:val="auto"/>
          <w:szCs w:val="22"/>
        </w:rPr>
        <w:t>e IR</w:t>
      </w:r>
      <w:r w:rsidRPr="00397406">
        <w:rPr>
          <w:rFonts w:asciiTheme="minorHAnsi" w:hAnsiTheme="minorHAnsi" w:cstheme="minorHAnsi"/>
          <w:i w:val="0"/>
          <w:color w:val="auto"/>
          <w:szCs w:val="22"/>
        </w:rPr>
        <w:t xml:space="preserve"> value</w:t>
      </w:r>
      <w:r w:rsidR="00061A8E" w:rsidRPr="00397406">
        <w:rPr>
          <w:rFonts w:asciiTheme="minorHAnsi" w:hAnsiTheme="minorHAnsi" w:cstheme="minorHAnsi"/>
          <w:i w:val="0"/>
          <w:color w:val="auto"/>
          <w:szCs w:val="22"/>
        </w:rPr>
        <w:t>s</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were</w:t>
      </w:r>
      <w:r w:rsidRPr="00397406">
        <w:rPr>
          <w:rFonts w:asciiTheme="minorHAnsi" w:hAnsiTheme="minorHAnsi" w:cstheme="minorHAnsi"/>
          <w:i w:val="0"/>
          <w:color w:val="auto"/>
          <w:szCs w:val="22"/>
        </w:rPr>
        <w:t xml:space="preserve"> obtained </w:t>
      </w:r>
      <w:r w:rsidR="00BC6524" w:rsidRPr="00397406">
        <w:rPr>
          <w:rFonts w:asciiTheme="minorHAnsi" w:hAnsiTheme="minorHAnsi" w:cstheme="minorHAnsi"/>
          <w:i w:val="0"/>
          <w:color w:val="auto"/>
          <w:szCs w:val="22"/>
        </w:rPr>
        <w:t>using the DEER READI tool</w:t>
      </w:r>
      <w:r w:rsidR="00240B74" w:rsidRPr="00397406">
        <w:rPr>
          <w:rFonts w:asciiTheme="minorHAnsi" w:hAnsiTheme="minorHAnsi" w:cstheme="minorHAnsi"/>
          <w:i w:val="0"/>
          <w:color w:val="auto"/>
          <w:szCs w:val="22"/>
        </w:rPr>
        <w:t>.</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The relevant IR values for the measures in this work paper are in the table below</w:t>
      </w:r>
      <w:r w:rsidR="008B1357" w:rsidRPr="00397406">
        <w:rPr>
          <w:rFonts w:asciiTheme="minorHAnsi" w:hAnsiTheme="minorHAnsi" w:cstheme="minorHAnsi"/>
          <w:i w:val="0"/>
          <w:color w:val="auto"/>
          <w:szCs w:val="22"/>
        </w:rPr>
        <w:t>.</w:t>
      </w:r>
    </w:p>
    <w:p w:rsidR="00240B74" w:rsidRPr="00397406" w:rsidRDefault="00240B74" w:rsidP="00240B74">
      <w:pPr>
        <w:pStyle w:val="Caption"/>
        <w:jc w:val="center"/>
        <w:rPr>
          <w:rFonts w:cstheme="minorHAnsi"/>
          <w:szCs w:val="22"/>
        </w:rPr>
      </w:pPr>
      <w:bookmarkStart w:id="13" w:name="_Ref37796590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864B9E">
        <w:rPr>
          <w:rFonts w:cstheme="minorHAnsi"/>
          <w:noProof/>
          <w:szCs w:val="22"/>
        </w:rPr>
        <w:t>4</w:t>
      </w:r>
      <w:r w:rsidRPr="00397406">
        <w:rPr>
          <w:rFonts w:cstheme="minorHAnsi"/>
          <w:szCs w:val="22"/>
        </w:rPr>
        <w:fldChar w:fldCharType="end"/>
      </w:r>
      <w:bookmarkEnd w:id="13"/>
      <w:r w:rsidR="001D3223" w:rsidRPr="00397406">
        <w:rPr>
          <w:rFonts w:cstheme="minorHAnsi"/>
          <w:szCs w:val="22"/>
        </w:rPr>
        <w:t>:</w:t>
      </w:r>
      <w:r w:rsidRPr="00397406">
        <w:rPr>
          <w:rFonts w:cstheme="minorHAnsi"/>
          <w:szCs w:val="22"/>
        </w:rPr>
        <w:t xml:space="preserve"> Installation Rate</w:t>
      </w:r>
    </w:p>
    <w:tbl>
      <w:tblPr>
        <w:tblStyle w:val="TableContemporary"/>
        <w:tblW w:w="4878" w:type="pct"/>
        <w:jc w:val="center"/>
        <w:tblInd w:w="234" w:type="dxa"/>
        <w:tblLook w:val="01E0" w:firstRow="1" w:lastRow="1" w:firstColumn="1" w:lastColumn="1" w:noHBand="0" w:noVBand="0"/>
      </w:tblPr>
      <w:tblGrid>
        <w:gridCol w:w="1350"/>
        <w:gridCol w:w="2624"/>
        <w:gridCol w:w="1285"/>
        <w:gridCol w:w="1603"/>
        <w:gridCol w:w="1295"/>
        <w:gridCol w:w="1185"/>
      </w:tblGrid>
      <w:tr w:rsidR="006B4A48"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722" w:type="pct"/>
          </w:tcPr>
          <w:p w:rsidR="006B4A48" w:rsidRPr="000407BD" w:rsidRDefault="00BA2E7E" w:rsidP="005729C8">
            <w:pPr>
              <w:rPr>
                <w:rFonts w:asciiTheme="minorHAnsi" w:hAnsiTheme="minorHAnsi" w:cstheme="minorHAnsi"/>
                <w:sz w:val="22"/>
                <w:szCs w:val="22"/>
              </w:rPr>
            </w:pPr>
            <w:r w:rsidRPr="000407BD">
              <w:rPr>
                <w:rFonts w:asciiTheme="minorHAnsi" w:hAnsiTheme="minorHAnsi" w:cstheme="minorHAnsi"/>
                <w:sz w:val="22"/>
                <w:szCs w:val="22"/>
              </w:rPr>
              <w:t xml:space="preserve">GSIA </w:t>
            </w:r>
            <w:r w:rsidR="00FB2590" w:rsidRPr="000407BD">
              <w:rPr>
                <w:rFonts w:asciiTheme="minorHAnsi" w:hAnsiTheme="minorHAnsi" w:cstheme="minorHAnsi"/>
                <w:sz w:val="22"/>
                <w:szCs w:val="22"/>
              </w:rPr>
              <w:t>ID</w:t>
            </w:r>
          </w:p>
        </w:tc>
        <w:tc>
          <w:tcPr>
            <w:tcW w:w="1404"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688"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858" w:type="pct"/>
          </w:tcPr>
          <w:p w:rsidR="006B4A48" w:rsidRPr="000407BD" w:rsidRDefault="00FB2590" w:rsidP="005729C8">
            <w:pPr>
              <w:rPr>
                <w:rFonts w:asciiTheme="minorHAnsi" w:hAnsiTheme="minorHAnsi" w:cstheme="minorHAnsi"/>
                <w:sz w:val="22"/>
                <w:szCs w:val="22"/>
              </w:rPr>
            </w:pPr>
            <w:proofErr w:type="spellStart"/>
            <w:r w:rsidRPr="000407BD">
              <w:rPr>
                <w:rFonts w:asciiTheme="minorHAnsi" w:hAnsiTheme="minorHAnsi" w:cstheme="minorHAnsi"/>
                <w:sz w:val="22"/>
                <w:szCs w:val="22"/>
              </w:rPr>
              <w:t>BldgType</w:t>
            </w:r>
            <w:proofErr w:type="spellEnd"/>
          </w:p>
        </w:tc>
        <w:tc>
          <w:tcPr>
            <w:tcW w:w="693" w:type="pct"/>
          </w:tcPr>
          <w:p w:rsidR="006B4A48" w:rsidRPr="000407BD" w:rsidRDefault="006B4A48" w:rsidP="005729C8">
            <w:pPr>
              <w:rPr>
                <w:rFonts w:asciiTheme="minorHAnsi" w:hAnsiTheme="minorHAnsi" w:cstheme="minorHAnsi"/>
                <w:sz w:val="22"/>
                <w:szCs w:val="22"/>
              </w:rPr>
            </w:pPr>
            <w:proofErr w:type="spellStart"/>
            <w:r w:rsidRPr="000407BD">
              <w:rPr>
                <w:rFonts w:asciiTheme="minorHAnsi" w:hAnsiTheme="minorHAnsi" w:cstheme="minorHAnsi"/>
                <w:sz w:val="22"/>
                <w:szCs w:val="22"/>
              </w:rPr>
              <w:t>ProgDelivID</w:t>
            </w:r>
            <w:proofErr w:type="spellEnd"/>
          </w:p>
        </w:tc>
        <w:tc>
          <w:tcPr>
            <w:tcW w:w="634" w:type="pct"/>
          </w:tcPr>
          <w:p w:rsidR="006B4A48" w:rsidRPr="000407BD" w:rsidRDefault="00FB2590" w:rsidP="005729C8">
            <w:pPr>
              <w:rPr>
                <w:rFonts w:asciiTheme="minorHAnsi" w:hAnsiTheme="minorHAnsi" w:cstheme="minorHAnsi"/>
                <w:sz w:val="22"/>
                <w:szCs w:val="22"/>
              </w:rPr>
            </w:pPr>
            <w:proofErr w:type="spellStart"/>
            <w:r w:rsidRPr="000407BD">
              <w:rPr>
                <w:rFonts w:asciiTheme="minorHAnsi" w:hAnsiTheme="minorHAnsi" w:cstheme="minorHAnsi"/>
                <w:sz w:val="22"/>
                <w:szCs w:val="22"/>
              </w:rPr>
              <w:t>GSIAValue</w:t>
            </w:r>
            <w:proofErr w:type="spellEnd"/>
          </w:p>
        </w:tc>
      </w:tr>
      <w:tr w:rsidR="002F4E34" w:rsidRPr="00397406" w:rsidTr="00BA2E7E">
        <w:trPr>
          <w:cnfStyle w:val="000000100000" w:firstRow="0" w:lastRow="0" w:firstColumn="0" w:lastColumn="0" w:oddVBand="0" w:evenVBand="0" w:oddHBand="1" w:evenHBand="0" w:firstRowFirstColumn="0" w:firstRowLastColumn="0" w:lastRowFirstColumn="0" w:lastRowLastColumn="0"/>
          <w:jc w:val="center"/>
        </w:trPr>
        <w:tc>
          <w:tcPr>
            <w:tcW w:w="722"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Def-GSIA</w:t>
            </w:r>
          </w:p>
        </w:tc>
        <w:tc>
          <w:tcPr>
            <w:tcW w:w="140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Default GSIA values</w:t>
            </w:r>
          </w:p>
        </w:tc>
        <w:tc>
          <w:tcPr>
            <w:tcW w:w="68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85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93"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Any</w:t>
            </w:r>
          </w:p>
        </w:tc>
        <w:tc>
          <w:tcPr>
            <w:tcW w:w="63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1</w:t>
            </w:r>
          </w:p>
        </w:tc>
      </w:tr>
    </w:tbl>
    <w:p w:rsidR="006B4A48" w:rsidRPr="00397406" w:rsidRDefault="006B4A48" w:rsidP="000968C6">
      <w:pPr>
        <w:pStyle w:val="Reminders"/>
        <w:rPr>
          <w:rFonts w:asciiTheme="minorHAnsi" w:hAnsiTheme="minorHAnsi" w:cstheme="minorHAnsi"/>
          <w:b/>
          <w:i w:val="0"/>
          <w:color w:val="auto"/>
          <w:szCs w:val="22"/>
        </w:rPr>
      </w:pPr>
    </w:p>
    <w:p w:rsidR="000968C6" w:rsidRPr="00397406" w:rsidRDefault="000968C6" w:rsidP="000968C6">
      <w:pPr>
        <w:pStyle w:val="Reminders"/>
        <w:rPr>
          <w:rFonts w:asciiTheme="minorHAnsi" w:hAnsiTheme="minorHAnsi" w:cstheme="minorHAnsi"/>
          <w:i w:val="0"/>
          <w:color w:val="auto"/>
          <w:szCs w:val="22"/>
        </w:rPr>
      </w:pPr>
      <w:r w:rsidRPr="00397406">
        <w:rPr>
          <w:rFonts w:asciiTheme="minorHAnsi" w:hAnsiTheme="minorHAnsi" w:cstheme="minorHAnsi"/>
          <w:b/>
          <w:i w:val="0"/>
          <w:color w:val="auto"/>
          <w:szCs w:val="22"/>
        </w:rPr>
        <w:t>Spillage Rate</w:t>
      </w:r>
    </w:p>
    <w:p w:rsidR="000968C6" w:rsidRPr="00397406" w:rsidRDefault="00061A8E"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pillage rate</w:t>
      </w: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 xml:space="preserve"> </w:t>
      </w:r>
      <w:r w:rsidRPr="00397406">
        <w:rPr>
          <w:rFonts w:asciiTheme="minorHAnsi" w:hAnsiTheme="minorHAnsi" w:cstheme="minorHAnsi"/>
          <w:i w:val="0"/>
          <w:color w:val="auto"/>
          <w:szCs w:val="22"/>
        </w:rPr>
        <w:t>are</w:t>
      </w:r>
      <w:r w:rsidR="000968C6" w:rsidRPr="00397406">
        <w:rPr>
          <w:rFonts w:asciiTheme="minorHAnsi" w:hAnsiTheme="minorHAnsi" w:cstheme="minorHAnsi"/>
          <w:i w:val="0"/>
          <w:color w:val="auto"/>
          <w:szCs w:val="22"/>
        </w:rPr>
        <w:t xml:space="preserve"> not tracked </w:t>
      </w:r>
      <w:r w:rsidRPr="00397406">
        <w:rPr>
          <w:rFonts w:asciiTheme="minorHAnsi" w:hAnsiTheme="minorHAnsi" w:cstheme="minorHAnsi"/>
          <w:i w:val="0"/>
          <w:color w:val="auto"/>
          <w:szCs w:val="22"/>
        </w:rPr>
        <w:t>in</w:t>
      </w:r>
      <w:r w:rsidR="000968C6" w:rsidRPr="00397406">
        <w:rPr>
          <w:rFonts w:asciiTheme="minorHAnsi" w:hAnsiTheme="minorHAnsi" w:cstheme="minorHAnsi"/>
          <w:i w:val="0"/>
          <w:color w:val="auto"/>
          <w:szCs w:val="22"/>
        </w:rPr>
        <w:t xml:space="preserve"> work</w:t>
      </w:r>
      <w:r w:rsidRPr="00397406">
        <w:rPr>
          <w:rFonts w:asciiTheme="minorHAnsi" w:hAnsiTheme="minorHAnsi" w:cstheme="minorHAnsi"/>
          <w:i w:val="0"/>
          <w:color w:val="auto"/>
          <w:szCs w:val="22"/>
        </w:rPr>
        <w:t xml:space="preserve"> </w:t>
      </w:r>
      <w:r w:rsidR="000968C6" w:rsidRPr="00397406">
        <w:rPr>
          <w:rFonts w:asciiTheme="minorHAnsi" w:hAnsiTheme="minorHAnsi" w:cstheme="minorHAnsi"/>
          <w:i w:val="0"/>
          <w:color w:val="auto"/>
          <w:szCs w:val="22"/>
        </w:rPr>
        <w:t>papers</w:t>
      </w:r>
      <w:r w:rsidRPr="00397406">
        <w:rPr>
          <w:rFonts w:asciiTheme="minorHAnsi" w:hAnsiTheme="minorHAnsi" w:cstheme="minorHAnsi"/>
          <w:i w:val="0"/>
          <w:color w:val="auto"/>
          <w:szCs w:val="22"/>
        </w:rPr>
        <w:t>; they are</w:t>
      </w:r>
      <w:r w:rsidR="000968C6" w:rsidRPr="00397406">
        <w:rPr>
          <w:rFonts w:asciiTheme="minorHAnsi" w:hAnsiTheme="minorHAnsi" w:cstheme="minorHAnsi"/>
          <w:i w:val="0"/>
          <w:color w:val="auto"/>
          <w:szCs w:val="22"/>
        </w:rPr>
        <w:t xml:space="preserve"> tracked in an external </w:t>
      </w:r>
      <w:r w:rsidR="00CE4386" w:rsidRPr="00397406">
        <w:rPr>
          <w:rFonts w:asciiTheme="minorHAnsi" w:hAnsiTheme="minorHAnsi" w:cstheme="minorHAnsi"/>
          <w:i w:val="0"/>
          <w:color w:val="auto"/>
          <w:szCs w:val="22"/>
        </w:rPr>
        <w:t>document</w:t>
      </w:r>
      <w:r w:rsidR="000968C6" w:rsidRPr="00397406">
        <w:rPr>
          <w:rFonts w:asciiTheme="minorHAnsi" w:hAnsiTheme="minorHAnsi" w:cstheme="minorHAnsi"/>
          <w:i w:val="0"/>
          <w:color w:val="auto"/>
          <w:szCs w:val="22"/>
        </w:rPr>
        <w:t xml:space="preserve"> </w:t>
      </w:r>
      <w:r w:rsidR="00CE4386" w:rsidRPr="00397406">
        <w:rPr>
          <w:rFonts w:asciiTheme="minorHAnsi" w:hAnsiTheme="minorHAnsi" w:cstheme="minorHAnsi"/>
          <w:i w:val="0"/>
          <w:color w:val="auto"/>
          <w:szCs w:val="22"/>
        </w:rPr>
        <w:t>which will</w:t>
      </w:r>
      <w:r w:rsidR="000968C6" w:rsidRPr="00397406">
        <w:rPr>
          <w:rFonts w:asciiTheme="minorHAnsi" w:hAnsiTheme="minorHAnsi" w:cstheme="minorHAnsi"/>
          <w:i w:val="0"/>
          <w:color w:val="auto"/>
          <w:szCs w:val="22"/>
        </w:rPr>
        <w:t xml:space="preserve"> be supplied to the</w:t>
      </w:r>
      <w:r w:rsidRPr="00397406">
        <w:rPr>
          <w:rFonts w:asciiTheme="minorHAnsi" w:hAnsiTheme="minorHAnsi" w:cstheme="minorHAnsi"/>
          <w:i w:val="0"/>
          <w:color w:val="auto"/>
          <w:szCs w:val="22"/>
        </w:rPr>
        <w:t xml:space="preserve"> </w:t>
      </w:r>
      <w:r w:rsidR="00F12733" w:rsidRPr="00397406">
        <w:rPr>
          <w:rFonts w:asciiTheme="minorHAnsi" w:hAnsiTheme="minorHAnsi" w:cstheme="minorHAnsi"/>
          <w:i w:val="0"/>
          <w:color w:val="auto"/>
          <w:szCs w:val="22"/>
        </w:rPr>
        <w:t>Commission Staff</w:t>
      </w:r>
      <w:r w:rsidR="00240B74" w:rsidRPr="00397406">
        <w:rPr>
          <w:rFonts w:asciiTheme="minorHAnsi" w:hAnsiTheme="minorHAnsi" w:cstheme="minorHAnsi"/>
          <w:i w:val="0"/>
          <w:color w:val="auto"/>
          <w:szCs w:val="22"/>
        </w:rPr>
        <w:t>.</w:t>
      </w:r>
    </w:p>
    <w:p w:rsidR="00E37F72" w:rsidRPr="00397406" w:rsidRDefault="00E37F72" w:rsidP="000968C6">
      <w:pPr>
        <w:pStyle w:val="Reminders"/>
        <w:rPr>
          <w:rFonts w:asciiTheme="minorHAnsi" w:hAnsiTheme="minorHAnsi" w:cstheme="minorHAnsi"/>
          <w:i w:val="0"/>
          <w:color w:val="auto"/>
          <w:szCs w:val="22"/>
        </w:rPr>
      </w:pPr>
    </w:p>
    <w:p w:rsidR="00E37F72" w:rsidRPr="00397406" w:rsidRDefault="00F12733"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T</w:t>
      </w:r>
      <w:r w:rsidR="00E37F72" w:rsidRPr="00397406">
        <w:rPr>
          <w:rFonts w:asciiTheme="minorHAnsi" w:hAnsiTheme="minorHAnsi" w:cstheme="minorHAnsi"/>
          <w:b/>
          <w:i w:val="0"/>
          <w:color w:val="auto"/>
          <w:szCs w:val="22"/>
        </w:rPr>
        <w:t>echnology Fields</w:t>
      </w:r>
    </w:p>
    <w:p w:rsidR="00240B74" w:rsidRPr="00397406" w:rsidRDefault="00F12733"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 xml:space="preserve">The Technology Fields were obtained </w:t>
      </w:r>
      <w:r w:rsidR="00236216" w:rsidRPr="00397406">
        <w:rPr>
          <w:rFonts w:asciiTheme="minorHAnsi" w:hAnsiTheme="minorHAnsi" w:cstheme="minorHAnsi"/>
          <w:i w:val="0"/>
          <w:color w:val="auto"/>
          <w:szCs w:val="22"/>
        </w:rPr>
        <w:t>from the Ex Ante Database Specification. The relevant Use Category, Use Sub-category, Technology Group, and Technology Type values for the measures in this work paper are in the table below.</w:t>
      </w:r>
    </w:p>
    <w:p w:rsidR="00240B74" w:rsidRPr="00397406" w:rsidRDefault="00240B74" w:rsidP="000968C6">
      <w:pPr>
        <w:pStyle w:val="Reminders"/>
        <w:rPr>
          <w:rFonts w:asciiTheme="minorHAnsi" w:hAnsiTheme="minorHAnsi" w:cstheme="minorHAnsi"/>
          <w:i w:val="0"/>
          <w:color w:val="auto"/>
          <w:szCs w:val="22"/>
        </w:rPr>
      </w:pPr>
    </w:p>
    <w:p w:rsidR="00240B74" w:rsidRPr="00397406" w:rsidRDefault="00240B74" w:rsidP="00240B74">
      <w:pPr>
        <w:pStyle w:val="Caption"/>
        <w:jc w:val="center"/>
        <w:rPr>
          <w:rFonts w:cstheme="minorHAnsi"/>
          <w:szCs w:val="22"/>
        </w:rPr>
      </w:pPr>
      <w:bookmarkStart w:id="14" w:name="_Ref398732834"/>
      <w:r w:rsidRPr="00397406">
        <w:rPr>
          <w:rFonts w:cstheme="minorHAnsi"/>
          <w:szCs w:val="22"/>
        </w:rPr>
        <w:lastRenderedPageBreak/>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864B9E">
        <w:rPr>
          <w:rFonts w:cstheme="minorHAnsi"/>
          <w:noProof/>
          <w:szCs w:val="22"/>
        </w:rPr>
        <w:t>5</w:t>
      </w:r>
      <w:r w:rsidRPr="00397406">
        <w:rPr>
          <w:rFonts w:cstheme="minorHAnsi"/>
          <w:szCs w:val="22"/>
        </w:rPr>
        <w:fldChar w:fldCharType="end"/>
      </w:r>
      <w:bookmarkEnd w:id="14"/>
      <w:r w:rsidR="001D3223" w:rsidRPr="00397406">
        <w:rPr>
          <w:rFonts w:cstheme="minorHAnsi"/>
          <w:szCs w:val="22"/>
        </w:rPr>
        <w:t>:</w:t>
      </w:r>
      <w:r w:rsidRPr="00397406">
        <w:rPr>
          <w:rFonts w:cstheme="minorHAnsi"/>
          <w:szCs w:val="22"/>
        </w:rPr>
        <w:t xml:space="preserve"> </w:t>
      </w:r>
      <w:r w:rsidR="00154C3B" w:rsidRPr="00397406">
        <w:rPr>
          <w:rFonts w:cstheme="minorHAnsi"/>
          <w:szCs w:val="22"/>
        </w:rPr>
        <w:t>Technology Fields</w:t>
      </w:r>
    </w:p>
    <w:tbl>
      <w:tblPr>
        <w:tblStyle w:val="TableContemporary"/>
        <w:tblW w:w="0" w:type="auto"/>
        <w:jc w:val="center"/>
        <w:tblInd w:w="-894" w:type="dxa"/>
        <w:tblLook w:val="04A0" w:firstRow="1" w:lastRow="0" w:firstColumn="1" w:lastColumn="0" w:noHBand="0" w:noVBand="1"/>
      </w:tblPr>
      <w:tblGrid>
        <w:gridCol w:w="2976"/>
        <w:gridCol w:w="4500"/>
      </w:tblGrid>
      <w:tr w:rsidR="00240B74" w:rsidRPr="00397406" w:rsidTr="001D57A0">
        <w:trPr>
          <w:cnfStyle w:val="100000000000" w:firstRow="1" w:lastRow="0" w:firstColumn="0" w:lastColumn="0" w:oddVBand="0" w:evenVBand="0" w:oddHBand="0" w:evenHBand="0" w:firstRowFirstColumn="0" w:firstRowLastColumn="0" w:lastRowFirstColumn="0" w:lastRowLastColumn="0"/>
          <w:trHeight w:val="245"/>
          <w:jc w:val="center"/>
        </w:trPr>
        <w:tc>
          <w:tcPr>
            <w:tcW w:w="2976"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Classification</w:t>
            </w:r>
          </w:p>
        </w:tc>
        <w:tc>
          <w:tcPr>
            <w:tcW w:w="4500"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Value</w:t>
            </w:r>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w:t>
            </w:r>
            <w:r w:rsidR="00A11800" w:rsidRPr="000407BD">
              <w:rPr>
                <w:rFonts w:asciiTheme="minorHAnsi" w:hAnsiTheme="minorHAnsi" w:cstheme="minorHAnsi"/>
                <w:i w:val="0"/>
                <w:color w:val="auto"/>
                <w:sz w:val="22"/>
                <w:szCs w:val="22"/>
              </w:rPr>
              <w:t>r</w:t>
            </w:r>
            <w:r w:rsidRPr="000407BD">
              <w:rPr>
                <w:rFonts w:asciiTheme="minorHAnsi" w:hAnsiTheme="minorHAnsi" w:cstheme="minorHAnsi"/>
                <w:i w:val="0"/>
                <w:color w:val="auto"/>
                <w:sz w:val="22"/>
                <w:szCs w:val="22"/>
              </w:rPr>
              <w:t xml:space="preserve">e Case </w:t>
            </w:r>
            <w:proofErr w:type="spellStart"/>
            <w:r w:rsidRPr="000407BD">
              <w:rPr>
                <w:rFonts w:asciiTheme="minorHAnsi" w:hAnsiTheme="minorHAnsi" w:cstheme="minorHAnsi"/>
                <w:i w:val="0"/>
                <w:color w:val="auto"/>
                <w:sz w:val="22"/>
                <w:szCs w:val="22"/>
              </w:rPr>
              <w:t>UseCategory</w:t>
            </w:r>
            <w:proofErr w:type="spellEnd"/>
          </w:p>
        </w:tc>
        <w:tc>
          <w:tcPr>
            <w:tcW w:w="4500" w:type="dxa"/>
          </w:tcPr>
          <w:p w:rsidR="00240B74"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HVAC</w:t>
            </w:r>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 xml:space="preserve">Measure Case </w:t>
            </w:r>
            <w:proofErr w:type="spellStart"/>
            <w:r w:rsidRPr="000407BD">
              <w:rPr>
                <w:rFonts w:asciiTheme="minorHAnsi" w:hAnsiTheme="minorHAnsi" w:cstheme="minorHAnsi"/>
                <w:i w:val="0"/>
                <w:color w:val="auto"/>
                <w:sz w:val="22"/>
                <w:szCs w:val="22"/>
              </w:rPr>
              <w:t>UseSubCats</w:t>
            </w:r>
            <w:proofErr w:type="spellEnd"/>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proofErr w:type="spellStart"/>
            <w:r>
              <w:rPr>
                <w:rFonts w:asciiTheme="minorHAnsi" w:hAnsiTheme="minorHAnsi" w:cstheme="minorHAnsi"/>
                <w:i w:val="0"/>
                <w:color w:val="auto"/>
                <w:sz w:val="22"/>
                <w:szCs w:val="22"/>
              </w:rPr>
              <w:t>SpaceHeat</w:t>
            </w:r>
            <w:proofErr w:type="spellEnd"/>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 xml:space="preserve">Measure Case </w:t>
            </w:r>
            <w:proofErr w:type="spellStart"/>
            <w:r w:rsidRPr="000407BD">
              <w:rPr>
                <w:rFonts w:asciiTheme="minorHAnsi" w:hAnsiTheme="minorHAnsi" w:cstheme="minorHAnsi"/>
                <w:i w:val="0"/>
                <w:color w:val="auto"/>
                <w:sz w:val="22"/>
                <w:szCs w:val="22"/>
              </w:rPr>
              <w:t>TechGroups</w:t>
            </w:r>
            <w:proofErr w:type="spellEnd"/>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proofErr w:type="spellStart"/>
            <w:r>
              <w:rPr>
                <w:rFonts w:asciiTheme="minorHAnsi" w:hAnsiTheme="minorHAnsi" w:cstheme="minorHAnsi"/>
                <w:i w:val="0"/>
                <w:color w:val="auto"/>
                <w:sz w:val="22"/>
                <w:szCs w:val="22"/>
              </w:rPr>
              <w:t>SpaceHtg_eq</w:t>
            </w:r>
            <w:proofErr w:type="spellEnd"/>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 xml:space="preserve">Measure Case </w:t>
            </w:r>
            <w:proofErr w:type="spellStart"/>
            <w:r w:rsidRPr="000407BD">
              <w:rPr>
                <w:rFonts w:asciiTheme="minorHAnsi" w:hAnsiTheme="minorHAnsi" w:cstheme="minorHAnsi"/>
                <w:i w:val="0"/>
                <w:color w:val="auto"/>
                <w:sz w:val="22"/>
                <w:szCs w:val="22"/>
              </w:rPr>
              <w:t>TechTypes</w:t>
            </w:r>
            <w:proofErr w:type="spellEnd"/>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proofErr w:type="spellStart"/>
            <w:r>
              <w:rPr>
                <w:rFonts w:asciiTheme="minorHAnsi" w:hAnsiTheme="minorHAnsi" w:cstheme="minorHAnsi"/>
                <w:i w:val="0"/>
                <w:color w:val="auto"/>
                <w:sz w:val="22"/>
                <w:szCs w:val="22"/>
              </w:rPr>
              <w:t>GasFurnace</w:t>
            </w:r>
            <w:proofErr w:type="spellEnd"/>
          </w:p>
        </w:tc>
      </w:tr>
      <w:tr w:rsidR="001D57A0"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 xml:space="preserve">Base Case </w:t>
            </w:r>
            <w:proofErr w:type="spellStart"/>
            <w:r w:rsidRPr="000407BD">
              <w:rPr>
                <w:rFonts w:asciiTheme="minorHAnsi" w:hAnsiTheme="minorHAnsi" w:cstheme="minorHAnsi"/>
                <w:i w:val="0"/>
                <w:color w:val="auto"/>
                <w:sz w:val="22"/>
                <w:szCs w:val="22"/>
              </w:rPr>
              <w:t>TechGroups</w:t>
            </w:r>
            <w:proofErr w:type="spellEnd"/>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proofErr w:type="spellStart"/>
            <w:r>
              <w:rPr>
                <w:rFonts w:asciiTheme="minorHAnsi" w:hAnsiTheme="minorHAnsi" w:cstheme="minorHAnsi"/>
                <w:i w:val="0"/>
                <w:color w:val="auto"/>
                <w:sz w:val="22"/>
                <w:szCs w:val="22"/>
              </w:rPr>
              <w:t>SpaceHtg_eq</w:t>
            </w:r>
            <w:proofErr w:type="spellEnd"/>
          </w:p>
        </w:tc>
      </w:tr>
      <w:tr w:rsidR="001D57A0"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 xml:space="preserve">Base Case </w:t>
            </w:r>
            <w:proofErr w:type="spellStart"/>
            <w:r w:rsidRPr="000407BD">
              <w:rPr>
                <w:rFonts w:asciiTheme="minorHAnsi" w:hAnsiTheme="minorHAnsi" w:cstheme="minorHAnsi"/>
                <w:i w:val="0"/>
                <w:color w:val="auto"/>
                <w:sz w:val="22"/>
                <w:szCs w:val="22"/>
              </w:rPr>
              <w:t>TechTypes</w:t>
            </w:r>
            <w:proofErr w:type="spellEnd"/>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proofErr w:type="spellStart"/>
            <w:r>
              <w:rPr>
                <w:rFonts w:asciiTheme="minorHAnsi" w:hAnsiTheme="minorHAnsi" w:cstheme="minorHAnsi"/>
                <w:i w:val="0"/>
                <w:color w:val="auto"/>
                <w:sz w:val="22"/>
                <w:szCs w:val="22"/>
              </w:rPr>
              <w:t>GasFurnace</w:t>
            </w:r>
            <w:proofErr w:type="spellEnd"/>
          </w:p>
        </w:tc>
      </w:tr>
    </w:tbl>
    <w:p w:rsidR="008B1357" w:rsidRPr="00397406" w:rsidRDefault="008B1357" w:rsidP="008B1357"/>
    <w:p w:rsidR="008B1357" w:rsidRPr="00397406" w:rsidRDefault="008B1357" w:rsidP="008B1357">
      <w:pPr>
        <w:rPr>
          <w:rFonts w:cstheme="minorHAnsi"/>
          <w:b/>
          <w:szCs w:val="22"/>
        </w:rPr>
      </w:pPr>
      <w:r w:rsidRPr="00397406">
        <w:rPr>
          <w:rFonts w:cstheme="minorHAnsi"/>
          <w:b/>
          <w:szCs w:val="22"/>
        </w:rPr>
        <w:t>Effective</w:t>
      </w:r>
      <w:r w:rsidR="00CE4386" w:rsidRPr="00397406">
        <w:rPr>
          <w:rFonts w:cstheme="minorHAnsi"/>
          <w:b/>
          <w:szCs w:val="22"/>
        </w:rPr>
        <w:t xml:space="preserve"> and Remaining</w:t>
      </w:r>
      <w:r w:rsidRPr="00397406">
        <w:rPr>
          <w:rFonts w:cstheme="minorHAnsi"/>
          <w:b/>
          <w:szCs w:val="22"/>
        </w:rPr>
        <w:t xml:space="preserve"> Useful Life</w:t>
      </w:r>
    </w:p>
    <w:p w:rsidR="008B1357" w:rsidRPr="00397406" w:rsidRDefault="006A6D15" w:rsidP="008B1357">
      <w:pPr>
        <w:rPr>
          <w:rFonts w:cstheme="minorHAnsi"/>
          <w:szCs w:val="22"/>
        </w:rPr>
      </w:pPr>
      <w:r w:rsidRPr="00397406">
        <w:rPr>
          <w:rFonts w:cstheme="minorHAnsi"/>
          <w:szCs w:val="22"/>
        </w:rPr>
        <w:t xml:space="preserve">The EUL and RUL values were obtained </w:t>
      </w:r>
      <w:r w:rsidR="00BC6524" w:rsidRPr="00397406">
        <w:rPr>
          <w:rFonts w:cstheme="minorHAnsi"/>
          <w:szCs w:val="22"/>
        </w:rPr>
        <w:t>using the DEER READI tool</w:t>
      </w:r>
      <w:r w:rsidRPr="00397406">
        <w:rPr>
          <w:rFonts w:cstheme="minorHAnsi"/>
          <w:szCs w:val="22"/>
        </w:rPr>
        <w:t>. DEER defines the RUL as 1/3 of the EUL value. The RUL value is only applicable to the first baseline period for an RET measure with an applicable code baseline. The relevant EUL and RUL values for the measures in this work paper are in the table below.</w:t>
      </w:r>
    </w:p>
    <w:p w:rsidR="006A6D15" w:rsidRPr="00397406" w:rsidRDefault="006A6D15" w:rsidP="008B1357">
      <w:pPr>
        <w:rPr>
          <w:rFonts w:cstheme="minorHAnsi"/>
          <w:szCs w:val="22"/>
        </w:rPr>
      </w:pPr>
    </w:p>
    <w:p w:rsidR="008B1357" w:rsidRPr="00397406" w:rsidRDefault="008B1357" w:rsidP="008B1357">
      <w:pPr>
        <w:pStyle w:val="Caption"/>
        <w:jc w:val="center"/>
        <w:rPr>
          <w:rFonts w:cstheme="minorHAnsi"/>
          <w:szCs w:val="22"/>
        </w:rPr>
      </w:pPr>
      <w:bookmarkStart w:id="15" w:name="_Ref296591307"/>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864B9E">
        <w:rPr>
          <w:rFonts w:cstheme="minorHAnsi"/>
          <w:noProof/>
          <w:szCs w:val="22"/>
        </w:rPr>
        <w:t>6</w:t>
      </w:r>
      <w:r w:rsidRPr="00397406">
        <w:rPr>
          <w:rFonts w:cstheme="minorHAnsi"/>
          <w:szCs w:val="22"/>
        </w:rPr>
        <w:fldChar w:fldCharType="end"/>
      </w:r>
      <w:bookmarkEnd w:id="15"/>
      <w:r w:rsidR="001D3223" w:rsidRPr="00397406">
        <w:rPr>
          <w:rFonts w:cstheme="minorHAnsi"/>
          <w:szCs w:val="22"/>
        </w:rPr>
        <w:t>:</w:t>
      </w:r>
      <w:r w:rsidRPr="00397406">
        <w:rPr>
          <w:rFonts w:cstheme="minorHAnsi"/>
          <w:szCs w:val="22"/>
        </w:rPr>
        <w:t xml:space="preserve"> EUL </w:t>
      </w:r>
      <w:r w:rsidR="006A6D15" w:rsidRPr="00397406">
        <w:rPr>
          <w:rFonts w:cstheme="minorHAnsi"/>
          <w:szCs w:val="22"/>
        </w:rPr>
        <w:t>and RUL</w:t>
      </w:r>
    </w:p>
    <w:tbl>
      <w:tblPr>
        <w:tblStyle w:val="TableContemporary"/>
        <w:tblW w:w="9400" w:type="dxa"/>
        <w:jc w:val="center"/>
        <w:tblInd w:w="-254" w:type="dxa"/>
        <w:tblLook w:val="04A0" w:firstRow="1" w:lastRow="0" w:firstColumn="1" w:lastColumn="0" w:noHBand="0" w:noVBand="1"/>
      </w:tblPr>
      <w:tblGrid>
        <w:gridCol w:w="1531"/>
        <w:gridCol w:w="2656"/>
        <w:gridCol w:w="888"/>
        <w:gridCol w:w="1376"/>
        <w:gridCol w:w="1508"/>
        <w:gridCol w:w="1441"/>
      </w:tblGrid>
      <w:tr w:rsidR="008B1357" w:rsidRPr="00397406" w:rsidTr="00AB2490">
        <w:trPr>
          <w:cnfStyle w:val="100000000000" w:firstRow="1" w:lastRow="0" w:firstColumn="0" w:lastColumn="0" w:oddVBand="0" w:evenVBand="0" w:oddHBand="0" w:evenHBand="0" w:firstRowFirstColumn="0" w:firstRowLastColumn="0" w:lastRowFirstColumn="0" w:lastRowLastColumn="0"/>
          <w:jc w:val="center"/>
        </w:trPr>
        <w:tc>
          <w:tcPr>
            <w:tcW w:w="1531"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ID</w:t>
            </w:r>
          </w:p>
        </w:tc>
        <w:tc>
          <w:tcPr>
            <w:tcW w:w="2656"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Description</w:t>
            </w:r>
          </w:p>
        </w:tc>
        <w:tc>
          <w:tcPr>
            <w:tcW w:w="888"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Sector</w:t>
            </w:r>
          </w:p>
        </w:tc>
        <w:tc>
          <w:tcPr>
            <w:tcW w:w="1376" w:type="dxa"/>
          </w:tcPr>
          <w:p w:rsidR="008B1357" w:rsidRPr="00324D76" w:rsidRDefault="00BA2E7E" w:rsidP="00BA2E7E">
            <w:pPr>
              <w:rPr>
                <w:rFonts w:asciiTheme="minorHAnsi" w:hAnsiTheme="minorHAnsi" w:cstheme="minorHAnsi"/>
                <w:sz w:val="22"/>
                <w:szCs w:val="22"/>
              </w:rPr>
            </w:pPr>
            <w:proofErr w:type="spellStart"/>
            <w:r w:rsidRPr="00324D76">
              <w:rPr>
                <w:rFonts w:asciiTheme="minorHAnsi" w:hAnsiTheme="minorHAnsi" w:cstheme="minorHAnsi"/>
                <w:sz w:val="22"/>
                <w:szCs w:val="22"/>
              </w:rPr>
              <w:t>UseCategory</w:t>
            </w:r>
            <w:proofErr w:type="spellEnd"/>
          </w:p>
        </w:tc>
        <w:tc>
          <w:tcPr>
            <w:tcW w:w="1508"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(Years)</w:t>
            </w:r>
          </w:p>
        </w:tc>
        <w:tc>
          <w:tcPr>
            <w:tcW w:w="1441"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RUL (Years)</w:t>
            </w:r>
          </w:p>
        </w:tc>
      </w:tr>
      <w:tr w:rsidR="00BA2E7E" w:rsidRPr="00397406" w:rsidTr="00AB2490">
        <w:trPr>
          <w:cnfStyle w:val="000000100000" w:firstRow="0" w:lastRow="0" w:firstColumn="0" w:lastColumn="0" w:oddVBand="0" w:evenVBand="0" w:oddHBand="1" w:evenHBand="0" w:firstRowFirstColumn="0" w:firstRowLastColumn="0" w:lastRowFirstColumn="0" w:lastRowLastColumn="0"/>
          <w:trHeight w:val="243"/>
          <w:jc w:val="center"/>
        </w:trPr>
        <w:tc>
          <w:tcPr>
            <w:tcW w:w="1531" w:type="dxa"/>
          </w:tcPr>
          <w:p w:rsidR="00BA2E7E" w:rsidRPr="00324D76" w:rsidRDefault="00E37041" w:rsidP="00BA2E7E">
            <w:pPr>
              <w:rPr>
                <w:rFonts w:asciiTheme="minorHAnsi" w:hAnsiTheme="minorHAnsi" w:cstheme="minorHAnsi"/>
                <w:sz w:val="22"/>
                <w:szCs w:val="22"/>
              </w:rPr>
            </w:pPr>
            <w:r w:rsidRPr="00324D76">
              <w:rPr>
                <w:rFonts w:asciiTheme="minorHAnsi" w:hAnsiTheme="minorHAnsi" w:cstheme="minorHAnsi"/>
                <w:sz w:val="22"/>
                <w:szCs w:val="22"/>
              </w:rPr>
              <w:t>HV</w:t>
            </w:r>
            <w:r w:rsidR="00324D76" w:rsidRPr="00324D76">
              <w:rPr>
                <w:rFonts w:asciiTheme="minorHAnsi" w:hAnsiTheme="minorHAnsi" w:cstheme="minorHAnsi"/>
                <w:sz w:val="22"/>
                <w:szCs w:val="22"/>
              </w:rPr>
              <w:t>AC-</w:t>
            </w:r>
            <w:proofErr w:type="spellStart"/>
            <w:r w:rsidR="00324D76" w:rsidRPr="00324D76">
              <w:rPr>
                <w:rFonts w:asciiTheme="minorHAnsi" w:hAnsiTheme="minorHAnsi" w:cstheme="minorHAnsi"/>
                <w:sz w:val="22"/>
                <w:szCs w:val="22"/>
              </w:rPr>
              <w:t>Frnc</w:t>
            </w:r>
            <w:proofErr w:type="spellEnd"/>
          </w:p>
        </w:tc>
        <w:tc>
          <w:tcPr>
            <w:tcW w:w="2656"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 xml:space="preserve">High </w:t>
            </w:r>
            <w:r w:rsidR="005A5B88" w:rsidRPr="00324D76">
              <w:rPr>
                <w:rFonts w:asciiTheme="minorHAnsi" w:hAnsiTheme="minorHAnsi" w:cstheme="minorHAnsi"/>
                <w:sz w:val="22"/>
                <w:szCs w:val="22"/>
              </w:rPr>
              <w:t>Efficiency</w:t>
            </w:r>
            <w:r w:rsidRPr="00324D76">
              <w:rPr>
                <w:rFonts w:asciiTheme="minorHAnsi" w:hAnsiTheme="minorHAnsi" w:cstheme="minorHAnsi"/>
                <w:sz w:val="22"/>
                <w:szCs w:val="22"/>
              </w:rPr>
              <w:t xml:space="preserve"> Gas Furnace</w:t>
            </w:r>
          </w:p>
        </w:tc>
        <w:tc>
          <w:tcPr>
            <w:tcW w:w="888"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Com</w:t>
            </w:r>
          </w:p>
        </w:tc>
        <w:tc>
          <w:tcPr>
            <w:tcW w:w="1376"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HVAC</w:t>
            </w:r>
          </w:p>
        </w:tc>
        <w:tc>
          <w:tcPr>
            <w:tcW w:w="1508"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20</w:t>
            </w:r>
          </w:p>
        </w:tc>
        <w:tc>
          <w:tcPr>
            <w:tcW w:w="1441"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6.7</w:t>
            </w:r>
          </w:p>
        </w:tc>
      </w:tr>
    </w:tbl>
    <w:p w:rsidR="00E16609" w:rsidRPr="00397406" w:rsidRDefault="00F06CCF" w:rsidP="00F06CCF">
      <w:pPr>
        <w:pStyle w:val="Heading3"/>
        <w:rPr>
          <w:rFonts w:asciiTheme="minorHAnsi" w:hAnsiTheme="minorHAnsi"/>
        </w:rPr>
      </w:pPr>
      <w:r w:rsidRPr="00397406">
        <w:rPr>
          <w:rFonts w:asciiTheme="minorHAnsi" w:hAnsiTheme="minorHAnsi"/>
        </w:rPr>
        <w:t>1.4.2</w:t>
      </w:r>
      <w:r w:rsidR="00824F1C" w:rsidRPr="00397406">
        <w:rPr>
          <w:rFonts w:asciiTheme="minorHAnsi" w:hAnsiTheme="minorHAnsi"/>
        </w:rPr>
        <w:t xml:space="preserve"> </w:t>
      </w:r>
      <w:r w:rsidR="00E16609" w:rsidRPr="00397406">
        <w:rPr>
          <w:rFonts w:asciiTheme="minorHAnsi" w:hAnsiTheme="minorHAnsi"/>
        </w:rPr>
        <w:t>Code</w:t>
      </w:r>
      <w:r w:rsidR="00B26778" w:rsidRPr="00397406">
        <w:rPr>
          <w:rFonts w:asciiTheme="minorHAnsi" w:hAnsiTheme="minorHAnsi"/>
        </w:rPr>
        <w:t xml:space="preserve">s and Standards </w:t>
      </w:r>
      <w:r w:rsidR="00E16609" w:rsidRPr="00397406">
        <w:rPr>
          <w:rFonts w:asciiTheme="minorHAnsi" w:hAnsiTheme="minorHAnsi"/>
        </w:rPr>
        <w:t xml:space="preserve">Analysis </w:t>
      </w:r>
      <w:bookmarkEnd w:id="11"/>
    </w:p>
    <w:p w:rsidR="00324D76" w:rsidRDefault="00324D76" w:rsidP="00324D76">
      <w:bookmarkStart w:id="16" w:name="_Toc214003088"/>
      <w:r w:rsidRPr="003B6BC0">
        <w:rPr>
          <w:rFonts w:cs="Arial"/>
          <w:b/>
          <w:i/>
        </w:rPr>
        <w:t>Title 20:</w:t>
      </w:r>
      <w:r w:rsidRPr="00F625C4">
        <w:rPr>
          <w:rFonts w:cs="Arial"/>
          <w:szCs w:val="22"/>
        </w:rPr>
        <w:t xml:space="preserve"> This measure does fall under Title 20 of the California Energy Regulations. U</w:t>
      </w:r>
      <w:r w:rsidRPr="00F625C4">
        <w:rPr>
          <w:szCs w:val="22"/>
        </w:rPr>
        <w:t>nder section 1605.1</w:t>
      </w:r>
      <w:r>
        <w:rPr>
          <w:szCs w:val="22"/>
        </w:rPr>
        <w:t xml:space="preserve"> </w:t>
      </w:r>
      <w:r w:rsidRPr="00F625C4">
        <w:rPr>
          <w:szCs w:val="22"/>
        </w:rPr>
        <w:t>on Table E-</w:t>
      </w:r>
      <w:r>
        <w:rPr>
          <w:szCs w:val="22"/>
        </w:rPr>
        <w:t>6</w:t>
      </w:r>
      <w:r w:rsidRPr="00F625C4">
        <w:rPr>
          <w:szCs w:val="22"/>
        </w:rPr>
        <w:t>, the minimum standard for gas furnaces with less than 225,000 Btu/h is 78% AFUE.</w:t>
      </w:r>
    </w:p>
    <w:p w:rsidR="00324D76" w:rsidRDefault="00324D76" w:rsidP="00324D76">
      <w:pPr>
        <w:pStyle w:val="Caption"/>
        <w:keepNext/>
      </w:pPr>
      <w:bookmarkStart w:id="17" w:name="_Toc327965525"/>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324D76" w:rsidRPr="00783DAC" w:rsidTr="00126C5D">
        <w:trPr>
          <w:trHeight w:val="647"/>
        </w:trPr>
        <w:tc>
          <w:tcPr>
            <w:tcW w:w="3662" w:type="dxa"/>
            <w:shd w:val="clear" w:color="auto" w:fill="auto"/>
            <w:vAlign w:val="center"/>
          </w:tcPr>
          <w:bookmarkEnd w:id="17"/>
          <w:p w:rsidR="00324D76" w:rsidRPr="00F625C4" w:rsidRDefault="00324D76" w:rsidP="00126C5D">
            <w:pPr>
              <w:rPr>
                <w:rFonts w:cstheme="minorHAnsi"/>
                <w:sz w:val="20"/>
                <w:szCs w:val="20"/>
              </w:rPr>
            </w:pPr>
            <w:r w:rsidRPr="00F625C4">
              <w:rPr>
                <w:rFonts w:cstheme="minorHAnsi"/>
                <w:b/>
                <w:sz w:val="20"/>
                <w:szCs w:val="20"/>
              </w:rPr>
              <w:t>Title 20 Std. Description</w:t>
            </w:r>
          </w:p>
        </w:tc>
        <w:tc>
          <w:tcPr>
            <w:tcW w:w="1614"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b/>
                <w:sz w:val="20"/>
                <w:szCs w:val="20"/>
              </w:rPr>
              <w:t>Base or Measure Case</w:t>
            </w:r>
          </w:p>
        </w:tc>
        <w:tc>
          <w:tcPr>
            <w:tcW w:w="810" w:type="dxa"/>
            <w:shd w:val="clear" w:color="auto" w:fill="auto"/>
            <w:vAlign w:val="center"/>
          </w:tcPr>
          <w:p w:rsidR="00324D76" w:rsidRPr="00F625C4" w:rsidRDefault="00324D76" w:rsidP="00126C5D">
            <w:pPr>
              <w:jc w:val="center"/>
              <w:rPr>
                <w:rFonts w:cstheme="minorHAnsi"/>
                <w:b/>
                <w:sz w:val="20"/>
                <w:szCs w:val="20"/>
              </w:rPr>
            </w:pPr>
            <w:r w:rsidRPr="00F625C4">
              <w:rPr>
                <w:rFonts w:cstheme="minorHAnsi"/>
                <w:b/>
                <w:sz w:val="20"/>
                <w:szCs w:val="20"/>
              </w:rPr>
              <w:t>Value</w:t>
            </w:r>
          </w:p>
        </w:tc>
        <w:tc>
          <w:tcPr>
            <w:tcW w:w="766"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b/>
                <w:sz w:val="20"/>
                <w:szCs w:val="20"/>
              </w:rPr>
              <w:t>Units</w:t>
            </w:r>
          </w:p>
        </w:tc>
        <w:tc>
          <w:tcPr>
            <w:tcW w:w="2238" w:type="dxa"/>
            <w:shd w:val="clear" w:color="auto" w:fill="auto"/>
            <w:vAlign w:val="center"/>
          </w:tcPr>
          <w:p w:rsidR="00324D76" w:rsidRPr="00F625C4" w:rsidRDefault="00324D76" w:rsidP="00126C5D">
            <w:pPr>
              <w:rPr>
                <w:rFonts w:cstheme="minorHAnsi"/>
                <w:sz w:val="20"/>
                <w:szCs w:val="20"/>
              </w:rPr>
            </w:pPr>
            <w:r w:rsidRPr="00F625C4">
              <w:rPr>
                <w:rFonts w:cstheme="minorHAnsi"/>
                <w:b/>
                <w:sz w:val="20"/>
                <w:szCs w:val="20"/>
              </w:rPr>
              <w:t>Code Source or Reference</w:t>
            </w:r>
          </w:p>
        </w:tc>
      </w:tr>
      <w:tr w:rsidR="00324D76" w:rsidRPr="00783DAC" w:rsidTr="00126C5D">
        <w:tc>
          <w:tcPr>
            <w:tcW w:w="3662" w:type="dxa"/>
            <w:shd w:val="clear" w:color="auto" w:fill="auto"/>
            <w:vAlign w:val="center"/>
          </w:tcPr>
          <w:p w:rsidR="00324D76" w:rsidRPr="00F625C4" w:rsidRDefault="00324D76" w:rsidP="00126C5D">
            <w:pPr>
              <w:rPr>
                <w:rFonts w:cstheme="minorHAnsi"/>
                <w:sz w:val="20"/>
                <w:szCs w:val="20"/>
              </w:rPr>
            </w:pPr>
            <w:r w:rsidRPr="00F625C4">
              <w:rPr>
                <w:rFonts w:cstheme="minorHAnsi"/>
                <w:sz w:val="20"/>
                <w:szCs w:val="20"/>
              </w:rPr>
              <w:t>Natural Gas Furnaces</w:t>
            </w:r>
          </w:p>
        </w:tc>
        <w:tc>
          <w:tcPr>
            <w:tcW w:w="1614"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Base</w:t>
            </w:r>
          </w:p>
        </w:tc>
        <w:tc>
          <w:tcPr>
            <w:tcW w:w="810"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8</w:t>
            </w:r>
            <w:r>
              <w:rPr>
                <w:rFonts w:cstheme="minorHAnsi"/>
                <w:sz w:val="20"/>
                <w:szCs w:val="20"/>
              </w:rPr>
              <w:t>0</w:t>
            </w:r>
            <w:r w:rsidRPr="00F625C4">
              <w:rPr>
                <w:rFonts w:cstheme="minorHAnsi"/>
                <w:sz w:val="20"/>
                <w:szCs w:val="20"/>
              </w:rPr>
              <w:t>%</w:t>
            </w:r>
          </w:p>
        </w:tc>
        <w:tc>
          <w:tcPr>
            <w:tcW w:w="766"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AFUE</w:t>
            </w:r>
          </w:p>
        </w:tc>
        <w:tc>
          <w:tcPr>
            <w:tcW w:w="2238" w:type="dxa"/>
            <w:shd w:val="clear" w:color="auto" w:fill="auto"/>
            <w:vAlign w:val="center"/>
          </w:tcPr>
          <w:p w:rsidR="00324D76" w:rsidRPr="00F625C4" w:rsidRDefault="00324D76" w:rsidP="00126C5D">
            <w:pPr>
              <w:rPr>
                <w:rFonts w:cstheme="minorHAnsi"/>
                <w:sz w:val="20"/>
                <w:szCs w:val="20"/>
              </w:rPr>
            </w:pPr>
            <w:r w:rsidRPr="00F625C4">
              <w:rPr>
                <w:rFonts w:cstheme="minorHAnsi"/>
                <w:sz w:val="20"/>
                <w:szCs w:val="20"/>
              </w:rPr>
              <w:t>Table E-</w:t>
            </w:r>
            <w:r>
              <w:rPr>
                <w:rFonts w:cstheme="minorHAnsi"/>
                <w:sz w:val="20"/>
                <w:szCs w:val="20"/>
              </w:rPr>
              <w:t>6</w:t>
            </w:r>
            <w:r w:rsidRPr="00F625C4">
              <w:rPr>
                <w:rFonts w:cstheme="minorHAnsi"/>
                <w:sz w:val="20"/>
                <w:szCs w:val="20"/>
              </w:rPr>
              <w:t>, Title 20, 201</w:t>
            </w:r>
            <w:r w:rsidR="00263B50">
              <w:rPr>
                <w:rFonts w:cstheme="minorHAnsi"/>
                <w:sz w:val="20"/>
                <w:szCs w:val="20"/>
              </w:rPr>
              <w:t>5</w:t>
            </w:r>
          </w:p>
        </w:tc>
      </w:tr>
    </w:tbl>
    <w:p w:rsidR="00324D76" w:rsidRPr="0077159C" w:rsidRDefault="00324D76" w:rsidP="00324D76">
      <w:pPr>
        <w:rPr>
          <w:rFonts w:cs="Arial"/>
          <w:i/>
        </w:rPr>
      </w:pPr>
    </w:p>
    <w:p w:rsidR="00324D76" w:rsidRPr="002F2892" w:rsidRDefault="00324D76" w:rsidP="00324D76">
      <w:pPr>
        <w:rPr>
          <w:rFonts w:cstheme="minorHAnsi"/>
          <w:i/>
          <w:sz w:val="20"/>
          <w:szCs w:val="20"/>
        </w:rPr>
      </w:pPr>
      <w:r w:rsidRPr="00BC6720">
        <w:rPr>
          <w:rFonts w:cs="Arial"/>
          <w:b/>
          <w:i/>
          <w:szCs w:val="22"/>
        </w:rPr>
        <w:t>Title 24:</w:t>
      </w:r>
      <w:r w:rsidRPr="00BC6720">
        <w:rPr>
          <w:b/>
          <w:szCs w:val="22"/>
        </w:rPr>
        <w:t xml:space="preserve"> </w:t>
      </w:r>
      <w:r w:rsidRPr="00347017">
        <w:rPr>
          <w:rFonts w:cstheme="minorHAnsi"/>
          <w:szCs w:val="22"/>
        </w:rPr>
        <w:t>This measure falls under Title 24 2013 of the California Energy Regulations.  Under Title 24, table 4-1 provides the minimum standard for furnaces is 80% AFUE.</w:t>
      </w:r>
    </w:p>
    <w:p w:rsidR="00324D76" w:rsidRDefault="00324D76" w:rsidP="00324D76">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324D76" w:rsidRPr="006A104B" w:rsidTr="00126C5D">
        <w:tc>
          <w:tcPr>
            <w:tcW w:w="2250"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b/>
                <w:sz w:val="20"/>
                <w:szCs w:val="20"/>
              </w:rPr>
              <w:t>Title 24 Std.  Description</w:t>
            </w:r>
          </w:p>
        </w:tc>
        <w:tc>
          <w:tcPr>
            <w:tcW w:w="1530"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b/>
                <w:sz w:val="20"/>
                <w:szCs w:val="20"/>
              </w:rPr>
              <w:t>Base or Measure Case</w:t>
            </w:r>
          </w:p>
        </w:tc>
        <w:tc>
          <w:tcPr>
            <w:tcW w:w="810" w:type="dxa"/>
            <w:shd w:val="clear" w:color="auto" w:fill="auto"/>
            <w:vAlign w:val="center"/>
          </w:tcPr>
          <w:p w:rsidR="00324D76" w:rsidRPr="00F625C4" w:rsidRDefault="00324D76" w:rsidP="00126C5D">
            <w:pPr>
              <w:jc w:val="center"/>
              <w:rPr>
                <w:rFonts w:cstheme="minorHAnsi"/>
                <w:b/>
                <w:sz w:val="20"/>
                <w:szCs w:val="20"/>
              </w:rPr>
            </w:pPr>
            <w:r w:rsidRPr="00F625C4">
              <w:rPr>
                <w:rFonts w:cstheme="minorHAnsi"/>
                <w:b/>
                <w:sz w:val="20"/>
                <w:szCs w:val="20"/>
              </w:rPr>
              <w:t>Value</w:t>
            </w:r>
          </w:p>
        </w:tc>
        <w:tc>
          <w:tcPr>
            <w:tcW w:w="990"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b/>
                <w:sz w:val="20"/>
                <w:szCs w:val="20"/>
              </w:rPr>
              <w:t>Units</w:t>
            </w:r>
          </w:p>
        </w:tc>
        <w:tc>
          <w:tcPr>
            <w:tcW w:w="3510"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b/>
                <w:sz w:val="20"/>
                <w:szCs w:val="20"/>
              </w:rPr>
              <w:t>Code Source or Reference</w:t>
            </w:r>
          </w:p>
        </w:tc>
      </w:tr>
      <w:tr w:rsidR="00324D76" w:rsidRPr="00783DAC" w:rsidTr="00126C5D">
        <w:tc>
          <w:tcPr>
            <w:tcW w:w="2250"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Central Furnaces</w:t>
            </w:r>
          </w:p>
        </w:tc>
        <w:tc>
          <w:tcPr>
            <w:tcW w:w="1530"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Base</w:t>
            </w:r>
          </w:p>
        </w:tc>
        <w:tc>
          <w:tcPr>
            <w:tcW w:w="810"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80%</w:t>
            </w:r>
          </w:p>
        </w:tc>
        <w:tc>
          <w:tcPr>
            <w:tcW w:w="990"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AFUE</w:t>
            </w:r>
          </w:p>
        </w:tc>
        <w:tc>
          <w:tcPr>
            <w:tcW w:w="3510" w:type="dxa"/>
            <w:shd w:val="clear" w:color="auto" w:fill="auto"/>
            <w:vAlign w:val="center"/>
          </w:tcPr>
          <w:p w:rsidR="00324D76" w:rsidRPr="00F625C4" w:rsidRDefault="00263B50" w:rsidP="00126C5D">
            <w:pPr>
              <w:jc w:val="center"/>
              <w:rPr>
                <w:rFonts w:cstheme="minorHAnsi"/>
                <w:sz w:val="20"/>
                <w:szCs w:val="20"/>
              </w:rPr>
            </w:pPr>
            <w:r>
              <w:rPr>
                <w:rFonts w:cstheme="minorHAnsi"/>
                <w:sz w:val="20"/>
                <w:szCs w:val="20"/>
              </w:rPr>
              <w:t>Table 4-1, Title 24, 2016</w:t>
            </w:r>
            <w:r w:rsidR="00324D76" w:rsidRPr="00F625C4">
              <w:rPr>
                <w:rFonts w:cstheme="minorHAnsi"/>
                <w:sz w:val="20"/>
                <w:szCs w:val="20"/>
              </w:rPr>
              <w:t xml:space="preserve"> (Residential Compliance Manual-Building HVAC Requirements)</w:t>
            </w:r>
          </w:p>
        </w:tc>
      </w:tr>
    </w:tbl>
    <w:p w:rsidR="00324D76" w:rsidRPr="0077159C" w:rsidRDefault="00324D76" w:rsidP="00324D76">
      <w:pPr>
        <w:rPr>
          <w:rFonts w:cs="Arial"/>
          <w:i/>
          <w:highlight w:val="yellow"/>
        </w:rPr>
      </w:pPr>
    </w:p>
    <w:p w:rsidR="00324D76" w:rsidRPr="0077159C" w:rsidRDefault="00324D76" w:rsidP="00324D76">
      <w:pPr>
        <w:rPr>
          <w:rFonts w:cs="Arial"/>
          <w:sz w:val="20"/>
          <w:szCs w:val="20"/>
        </w:rPr>
      </w:pPr>
      <w:r w:rsidRPr="003B6BC0">
        <w:rPr>
          <w:rFonts w:cs="Arial"/>
          <w:b/>
          <w:i/>
        </w:rPr>
        <w:t>Federal Standards:</w:t>
      </w:r>
      <w:r w:rsidRPr="003B6BC0">
        <w:rPr>
          <w:b/>
        </w:rPr>
        <w:t xml:space="preserve"> </w:t>
      </w:r>
      <w:r w:rsidRPr="00347017">
        <w:rPr>
          <w:rFonts w:cs="Arial"/>
          <w:szCs w:val="22"/>
        </w:rPr>
        <w:t>This measure falls under Federal DOE (10 CFR Part 430</w:t>
      </w:r>
      <w:proofErr w:type="gramStart"/>
      <w:r w:rsidRPr="00347017">
        <w:rPr>
          <w:rFonts w:cs="Arial"/>
          <w:szCs w:val="22"/>
        </w:rPr>
        <w:t>)</w:t>
      </w:r>
      <w:r w:rsidR="006E30ED">
        <w:rPr>
          <w:rFonts w:cs="Arial"/>
          <w:szCs w:val="22"/>
        </w:rPr>
        <w:t>[</w:t>
      </w:r>
      <w:proofErr w:type="gramEnd"/>
      <w:r w:rsidR="006E30ED">
        <w:rPr>
          <w:rFonts w:cs="Arial"/>
          <w:szCs w:val="22"/>
        </w:rPr>
        <w:t>A]</w:t>
      </w:r>
      <w:r w:rsidRPr="00347017">
        <w:rPr>
          <w:rFonts w:cs="Arial"/>
          <w:szCs w:val="22"/>
        </w:rPr>
        <w:t xml:space="preserve"> Energy Regulations. Under this regulation, compliance with the standards in the direct final rule will be required on May 1, 2013 for non-weatherized furnaces and on January 1, 2015 for weatherized furnaces and central air conditioners and heat pumps.  Because most </w:t>
      </w:r>
      <w:r w:rsidR="00794567">
        <w:rPr>
          <w:rFonts w:cs="Arial"/>
          <w:szCs w:val="22"/>
        </w:rPr>
        <w:t xml:space="preserve">commercial </w:t>
      </w:r>
      <w:r w:rsidRPr="00347017">
        <w:rPr>
          <w:rFonts w:cs="Arial"/>
          <w:szCs w:val="22"/>
        </w:rPr>
        <w:t>type furnaces</w:t>
      </w:r>
      <w:r w:rsidR="00794567">
        <w:rPr>
          <w:rFonts w:cs="Arial"/>
          <w:szCs w:val="22"/>
        </w:rPr>
        <w:t xml:space="preserve"> less than 225,000 Btu/h input capacity </w:t>
      </w:r>
      <w:r w:rsidRPr="00347017">
        <w:rPr>
          <w:rFonts w:cs="Arial"/>
          <w:szCs w:val="22"/>
        </w:rPr>
        <w:t xml:space="preserve">are installed </w:t>
      </w:r>
      <w:r w:rsidR="00794567">
        <w:rPr>
          <w:rFonts w:cs="Arial"/>
          <w:szCs w:val="22"/>
        </w:rPr>
        <w:t>outside of the commercial building</w:t>
      </w:r>
      <w:r w:rsidRPr="00347017">
        <w:rPr>
          <w:rFonts w:cs="Arial"/>
          <w:szCs w:val="22"/>
        </w:rPr>
        <w:t>, it’s considered as weatherized for which the minimum AFUE is 8</w:t>
      </w:r>
      <w:r w:rsidR="00794567">
        <w:rPr>
          <w:rFonts w:cs="Arial"/>
          <w:szCs w:val="22"/>
        </w:rPr>
        <w:t>1</w:t>
      </w:r>
      <w:r w:rsidRPr="00347017">
        <w:rPr>
          <w:rFonts w:cs="Arial"/>
          <w:szCs w:val="22"/>
        </w:rPr>
        <w:t xml:space="preserve">%.  </w:t>
      </w:r>
    </w:p>
    <w:p w:rsidR="00324D76" w:rsidRPr="0077159C" w:rsidRDefault="00324D76" w:rsidP="00324D76">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324D76" w:rsidRPr="0077159C" w:rsidTr="00126C5D">
        <w:tc>
          <w:tcPr>
            <w:tcW w:w="1915" w:type="dxa"/>
            <w:shd w:val="clear" w:color="auto" w:fill="auto"/>
          </w:tcPr>
          <w:p w:rsidR="00324D76" w:rsidRPr="00F625C4" w:rsidRDefault="00324D76" w:rsidP="00126C5D">
            <w:pPr>
              <w:rPr>
                <w:rFonts w:cstheme="minorHAnsi"/>
                <w:b/>
                <w:sz w:val="20"/>
                <w:szCs w:val="20"/>
              </w:rPr>
            </w:pPr>
            <w:r w:rsidRPr="00F625C4">
              <w:rPr>
                <w:rFonts w:cstheme="minorHAnsi"/>
                <w:b/>
                <w:sz w:val="20"/>
                <w:szCs w:val="20"/>
              </w:rPr>
              <w:lastRenderedPageBreak/>
              <w:t xml:space="preserve">Federal Std. Description </w:t>
            </w:r>
          </w:p>
        </w:tc>
        <w:tc>
          <w:tcPr>
            <w:tcW w:w="1915" w:type="dxa"/>
            <w:shd w:val="clear" w:color="auto" w:fill="auto"/>
          </w:tcPr>
          <w:p w:rsidR="00324D76" w:rsidRPr="00F625C4" w:rsidRDefault="00324D76" w:rsidP="00126C5D">
            <w:pPr>
              <w:rPr>
                <w:rFonts w:cstheme="minorHAnsi"/>
                <w:b/>
                <w:sz w:val="20"/>
                <w:szCs w:val="20"/>
              </w:rPr>
            </w:pPr>
            <w:r w:rsidRPr="00F625C4">
              <w:rPr>
                <w:rFonts w:cstheme="minorHAnsi"/>
                <w:b/>
                <w:sz w:val="20"/>
                <w:szCs w:val="20"/>
              </w:rPr>
              <w:t>Base or Measure Case</w:t>
            </w:r>
          </w:p>
        </w:tc>
        <w:tc>
          <w:tcPr>
            <w:tcW w:w="1915" w:type="dxa"/>
            <w:shd w:val="clear" w:color="auto" w:fill="auto"/>
          </w:tcPr>
          <w:p w:rsidR="00324D76" w:rsidRPr="00F625C4" w:rsidRDefault="00324D76" w:rsidP="00126C5D">
            <w:pPr>
              <w:rPr>
                <w:rFonts w:cstheme="minorHAnsi"/>
                <w:b/>
                <w:sz w:val="20"/>
                <w:szCs w:val="20"/>
              </w:rPr>
            </w:pPr>
            <w:r w:rsidRPr="00F625C4">
              <w:rPr>
                <w:rFonts w:cstheme="minorHAnsi"/>
                <w:b/>
                <w:sz w:val="20"/>
                <w:szCs w:val="20"/>
              </w:rPr>
              <w:t>Value</w:t>
            </w:r>
          </w:p>
        </w:tc>
        <w:tc>
          <w:tcPr>
            <w:tcW w:w="1455" w:type="dxa"/>
            <w:shd w:val="clear" w:color="auto" w:fill="auto"/>
          </w:tcPr>
          <w:p w:rsidR="00324D76" w:rsidRPr="00F625C4" w:rsidRDefault="00324D76" w:rsidP="00126C5D">
            <w:pPr>
              <w:rPr>
                <w:rFonts w:cstheme="minorHAnsi"/>
                <w:b/>
                <w:sz w:val="20"/>
                <w:szCs w:val="20"/>
              </w:rPr>
            </w:pPr>
            <w:r w:rsidRPr="00F625C4">
              <w:rPr>
                <w:rFonts w:cstheme="minorHAnsi"/>
                <w:b/>
                <w:sz w:val="20"/>
                <w:szCs w:val="20"/>
              </w:rPr>
              <w:t>Units</w:t>
            </w:r>
          </w:p>
        </w:tc>
        <w:tc>
          <w:tcPr>
            <w:tcW w:w="1916" w:type="dxa"/>
            <w:shd w:val="clear" w:color="auto" w:fill="auto"/>
          </w:tcPr>
          <w:p w:rsidR="00324D76" w:rsidRPr="00F625C4" w:rsidRDefault="00324D76" w:rsidP="00126C5D">
            <w:pPr>
              <w:rPr>
                <w:rFonts w:cstheme="minorHAnsi"/>
                <w:b/>
                <w:sz w:val="20"/>
                <w:szCs w:val="20"/>
              </w:rPr>
            </w:pPr>
            <w:r w:rsidRPr="00F625C4">
              <w:rPr>
                <w:rFonts w:cstheme="minorHAnsi"/>
                <w:b/>
                <w:sz w:val="20"/>
                <w:szCs w:val="20"/>
              </w:rPr>
              <w:t>Code Source or Reference</w:t>
            </w:r>
          </w:p>
        </w:tc>
      </w:tr>
      <w:tr w:rsidR="00324D76" w:rsidRPr="0077159C" w:rsidTr="00126C5D">
        <w:tc>
          <w:tcPr>
            <w:tcW w:w="1915"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Central Furnaces</w:t>
            </w:r>
          </w:p>
        </w:tc>
        <w:tc>
          <w:tcPr>
            <w:tcW w:w="1915"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Non-Weatherized gas</w:t>
            </w:r>
          </w:p>
        </w:tc>
        <w:tc>
          <w:tcPr>
            <w:tcW w:w="1915"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80% AFUE</w:t>
            </w:r>
          </w:p>
        </w:tc>
        <w:tc>
          <w:tcPr>
            <w:tcW w:w="1455"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Per System</w:t>
            </w:r>
          </w:p>
        </w:tc>
        <w:tc>
          <w:tcPr>
            <w:tcW w:w="1916" w:type="dxa"/>
            <w:shd w:val="clear" w:color="auto" w:fill="auto"/>
            <w:vAlign w:val="center"/>
          </w:tcPr>
          <w:p w:rsidR="00324D76" w:rsidRPr="00F625C4" w:rsidRDefault="00324D76" w:rsidP="00126C5D">
            <w:pPr>
              <w:jc w:val="center"/>
              <w:rPr>
                <w:rFonts w:cstheme="minorHAnsi"/>
                <w:sz w:val="20"/>
                <w:szCs w:val="20"/>
              </w:rPr>
            </w:pPr>
            <w:r w:rsidRPr="00F625C4">
              <w:rPr>
                <w:rFonts w:cstheme="minorHAnsi"/>
                <w:sz w:val="20"/>
                <w:szCs w:val="20"/>
              </w:rPr>
              <w:t>CFR Part 430</w:t>
            </w:r>
          </w:p>
        </w:tc>
      </w:tr>
      <w:tr w:rsidR="00794567" w:rsidRPr="0077159C" w:rsidTr="00126C5D">
        <w:tc>
          <w:tcPr>
            <w:tcW w:w="1915" w:type="dxa"/>
            <w:shd w:val="clear" w:color="auto" w:fill="auto"/>
            <w:vAlign w:val="center"/>
          </w:tcPr>
          <w:p w:rsidR="00794567" w:rsidRPr="00F625C4" w:rsidRDefault="00794567" w:rsidP="00126C5D">
            <w:pPr>
              <w:jc w:val="center"/>
              <w:rPr>
                <w:rFonts w:cstheme="minorHAnsi"/>
                <w:sz w:val="20"/>
                <w:szCs w:val="20"/>
              </w:rPr>
            </w:pPr>
            <w:r>
              <w:rPr>
                <w:rFonts w:cstheme="minorHAnsi"/>
                <w:sz w:val="20"/>
                <w:szCs w:val="20"/>
              </w:rPr>
              <w:t xml:space="preserve">Central Furnaces </w:t>
            </w:r>
          </w:p>
        </w:tc>
        <w:tc>
          <w:tcPr>
            <w:tcW w:w="1915" w:type="dxa"/>
            <w:shd w:val="clear" w:color="auto" w:fill="auto"/>
            <w:vAlign w:val="center"/>
          </w:tcPr>
          <w:p w:rsidR="00794567" w:rsidRPr="00F625C4" w:rsidRDefault="00794567" w:rsidP="00126C5D">
            <w:pPr>
              <w:jc w:val="center"/>
              <w:rPr>
                <w:rFonts w:cstheme="minorHAnsi"/>
                <w:sz w:val="20"/>
                <w:szCs w:val="20"/>
              </w:rPr>
            </w:pPr>
            <w:r>
              <w:rPr>
                <w:rFonts w:cstheme="minorHAnsi"/>
                <w:sz w:val="20"/>
                <w:szCs w:val="20"/>
              </w:rPr>
              <w:t>Weatherized gas</w:t>
            </w:r>
          </w:p>
        </w:tc>
        <w:tc>
          <w:tcPr>
            <w:tcW w:w="1915" w:type="dxa"/>
            <w:shd w:val="clear" w:color="auto" w:fill="auto"/>
            <w:vAlign w:val="center"/>
          </w:tcPr>
          <w:p w:rsidR="00794567" w:rsidRPr="00F625C4" w:rsidRDefault="00794567" w:rsidP="00126C5D">
            <w:pPr>
              <w:jc w:val="center"/>
              <w:rPr>
                <w:rFonts w:cstheme="minorHAnsi"/>
                <w:sz w:val="20"/>
                <w:szCs w:val="20"/>
              </w:rPr>
            </w:pPr>
            <w:r>
              <w:rPr>
                <w:rFonts w:cstheme="minorHAnsi"/>
                <w:sz w:val="20"/>
                <w:szCs w:val="20"/>
              </w:rPr>
              <w:t>81% AFUE</w:t>
            </w:r>
          </w:p>
        </w:tc>
        <w:tc>
          <w:tcPr>
            <w:tcW w:w="1455" w:type="dxa"/>
            <w:shd w:val="clear" w:color="auto" w:fill="auto"/>
            <w:vAlign w:val="center"/>
          </w:tcPr>
          <w:p w:rsidR="00794567" w:rsidRPr="00F625C4" w:rsidRDefault="00794567" w:rsidP="00126C5D">
            <w:pPr>
              <w:jc w:val="center"/>
              <w:rPr>
                <w:rFonts w:cstheme="minorHAnsi"/>
                <w:sz w:val="20"/>
                <w:szCs w:val="20"/>
              </w:rPr>
            </w:pPr>
            <w:r>
              <w:rPr>
                <w:rFonts w:cstheme="minorHAnsi"/>
                <w:sz w:val="20"/>
                <w:szCs w:val="20"/>
              </w:rPr>
              <w:t>Per System</w:t>
            </w:r>
          </w:p>
        </w:tc>
        <w:tc>
          <w:tcPr>
            <w:tcW w:w="1916" w:type="dxa"/>
            <w:shd w:val="clear" w:color="auto" w:fill="auto"/>
            <w:vAlign w:val="center"/>
          </w:tcPr>
          <w:p w:rsidR="00794567" w:rsidRPr="00F625C4" w:rsidRDefault="00794567" w:rsidP="00126C5D">
            <w:pPr>
              <w:jc w:val="center"/>
              <w:rPr>
                <w:rFonts w:cstheme="minorHAnsi"/>
                <w:sz w:val="20"/>
                <w:szCs w:val="20"/>
              </w:rPr>
            </w:pPr>
            <w:r>
              <w:rPr>
                <w:rFonts w:cstheme="minorHAnsi"/>
                <w:sz w:val="20"/>
                <w:szCs w:val="20"/>
              </w:rPr>
              <w:t>CFR Part 430</w:t>
            </w:r>
          </w:p>
        </w:tc>
      </w:tr>
    </w:tbl>
    <w:p w:rsidR="00AB21F5" w:rsidRPr="00397406" w:rsidRDefault="00AB21F5" w:rsidP="0038227E">
      <w:pPr>
        <w:pStyle w:val="Heading3"/>
        <w:rPr>
          <w:rFonts w:asciiTheme="minorHAnsi" w:hAnsiTheme="minorHAnsi"/>
        </w:rPr>
      </w:pPr>
      <w:r w:rsidRPr="00397406">
        <w:rPr>
          <w:rFonts w:asciiTheme="minorHAnsi" w:hAnsiTheme="minorHAnsi"/>
        </w:rPr>
        <w:t>1.4.3 Non-DEER Study Review</w:t>
      </w:r>
    </w:p>
    <w:p w:rsidR="00AB21F5" w:rsidRPr="00397406" w:rsidRDefault="0038227E" w:rsidP="00AB21F5">
      <w:pPr>
        <w:pStyle w:val="Reminder"/>
        <w:rPr>
          <w:rFonts w:asciiTheme="minorHAnsi" w:hAnsiTheme="minorHAnsi" w:cstheme="minorHAnsi"/>
          <w:i w:val="0"/>
          <w:szCs w:val="22"/>
        </w:rPr>
      </w:pPr>
      <w:r w:rsidRPr="00313383">
        <w:rPr>
          <w:rFonts w:asciiTheme="minorHAnsi" w:hAnsiTheme="minorHAnsi" w:cstheme="minorHAnsi"/>
          <w:i w:val="0"/>
          <w:color w:val="auto"/>
          <w:szCs w:val="22"/>
        </w:rPr>
        <w:t>No Non-DEER studies were references in the work paper.</w:t>
      </w:r>
    </w:p>
    <w:p w:rsidR="00E16609" w:rsidRPr="00397406" w:rsidRDefault="00E16609" w:rsidP="00560934">
      <w:pPr>
        <w:pStyle w:val="Heading1"/>
        <w:keepNext w:val="0"/>
        <w:rPr>
          <w:rFonts w:cstheme="minorHAnsi"/>
        </w:rPr>
      </w:pPr>
      <w:bookmarkStart w:id="18" w:name="_Toc214003090"/>
      <w:bookmarkEnd w:id="16"/>
      <w:r w:rsidRPr="00397406">
        <w:rPr>
          <w:rFonts w:cstheme="minorHAnsi"/>
        </w:rPr>
        <w:t>Section 2</w:t>
      </w:r>
      <w:r w:rsidR="001D3223" w:rsidRPr="00397406">
        <w:rPr>
          <w:rFonts w:cstheme="minorHAnsi"/>
        </w:rPr>
        <w:t>:</w:t>
      </w:r>
      <w:r w:rsidRPr="00397406">
        <w:rPr>
          <w:rFonts w:cstheme="minorHAnsi"/>
        </w:rPr>
        <w:t xml:space="preserve"> Calculation</w:t>
      </w:r>
      <w:bookmarkEnd w:id="18"/>
      <w:r w:rsidR="00755A45" w:rsidRPr="00397406">
        <w:rPr>
          <w:rFonts w:cstheme="minorHAnsi"/>
        </w:rPr>
        <w:t xml:space="preserve"> Methodology</w:t>
      </w:r>
    </w:p>
    <w:p w:rsidR="00977505" w:rsidRPr="009D524E" w:rsidRDefault="00AB2490" w:rsidP="00977505">
      <w:pPr>
        <w:spacing w:before="200"/>
        <w:rPr>
          <w:szCs w:val="22"/>
        </w:rPr>
      </w:pPr>
      <w:r>
        <w:t xml:space="preserve">The DEER </w:t>
      </w:r>
      <w:r w:rsidR="00977505" w:rsidRPr="0077159C">
        <w:t xml:space="preserve">does not have this measure with variable speed motor (VSM). </w:t>
      </w:r>
      <w:r w:rsidR="00977505">
        <w:t>The e</w:t>
      </w:r>
      <w:r w:rsidR="00977505" w:rsidRPr="009D524E">
        <w:rPr>
          <w:szCs w:val="22"/>
        </w:rPr>
        <w:t xml:space="preserve">lectrical energy savings for </w:t>
      </w:r>
      <w:r w:rsidR="00977505">
        <w:rPr>
          <w:szCs w:val="22"/>
        </w:rPr>
        <w:t xml:space="preserve">this measure with VSM </w:t>
      </w:r>
      <w:r w:rsidR="00977505" w:rsidRPr="009D524E">
        <w:rPr>
          <w:szCs w:val="22"/>
        </w:rPr>
        <w:t>are extrapolated from the results of a study that analyzed the electrical energy savings associated with a Brushless Permanent Magnet (BPM) instead of the less energy efficient but more prevalent Permanent Split Capacitor (PSC) motor in residential buildings.</w:t>
      </w:r>
      <w:r w:rsidR="00977505">
        <w:rPr>
          <w:szCs w:val="22"/>
        </w:rPr>
        <w:t xml:space="preserve">  </w:t>
      </w:r>
      <w:r w:rsidR="00977505" w:rsidRPr="009D524E">
        <w:rPr>
          <w:szCs w:val="22"/>
        </w:rPr>
        <w:t xml:space="preserve">In this study, DOE-2 computer simulation models were developed to simulate the electrical energy consumption of furnace blowers operating in a variety of climate zones throughout the country and under a range of three operating duct conditions. </w:t>
      </w:r>
    </w:p>
    <w:p w:rsidR="00977505" w:rsidRPr="009D524E" w:rsidRDefault="00977505" w:rsidP="00977505">
      <w:pPr>
        <w:spacing w:before="200"/>
        <w:rPr>
          <w:szCs w:val="22"/>
        </w:rPr>
      </w:pPr>
      <w:r w:rsidRPr="009D524E">
        <w:rPr>
          <w:szCs w:val="22"/>
        </w:rPr>
        <w:t>PSC motors are less energy-efficient than BPM motors but the former technology is more prevalent in the standard or code-minimum efficiency furnaces.</w:t>
      </w:r>
      <w:r>
        <w:rPr>
          <w:szCs w:val="22"/>
          <w:vertAlign w:val="superscript"/>
        </w:rPr>
        <w:t xml:space="preserve"> </w:t>
      </w:r>
      <w:r>
        <w:rPr>
          <w:szCs w:val="22"/>
        </w:rPr>
        <w:t xml:space="preserve"> </w:t>
      </w:r>
      <w:r w:rsidRPr="009D524E">
        <w:rPr>
          <w:szCs w:val="22"/>
        </w:rPr>
        <w:t>High efficiency furnaces, usually two</w:t>
      </w:r>
      <w:r w:rsidRPr="009D524E">
        <w:rPr>
          <w:szCs w:val="22"/>
        </w:rPr>
        <w:noBreakHyphen/>
        <w:t>stage furnaces, typically use BPM motors instead of PSC motors in non-condensing furnaces.</w:t>
      </w:r>
      <w:r>
        <w:rPr>
          <w:szCs w:val="22"/>
        </w:rPr>
        <w:t xml:space="preserve">  </w:t>
      </w:r>
      <w:r w:rsidRPr="009D524E">
        <w:rPr>
          <w:szCs w:val="22"/>
        </w:rPr>
        <w:t xml:space="preserve">This serves as the basis for establishing electrical energy savings for the high efficiency furnaces equipped with built-in VSM. </w:t>
      </w:r>
    </w:p>
    <w:p w:rsidR="00977505" w:rsidRPr="009D524E" w:rsidRDefault="00977505" w:rsidP="00977505">
      <w:pPr>
        <w:rPr>
          <w:szCs w:val="22"/>
        </w:rPr>
      </w:pPr>
    </w:p>
    <w:p w:rsidR="00977505" w:rsidRPr="009D524E" w:rsidRDefault="00977505" w:rsidP="00977505">
      <w:pPr>
        <w:rPr>
          <w:szCs w:val="22"/>
        </w:rPr>
      </w:pPr>
      <w:r w:rsidRPr="009D524E">
        <w:rPr>
          <w:szCs w:val="22"/>
        </w:rPr>
        <w:t>The calculations are as follows:</w:t>
      </w:r>
    </w:p>
    <w:p w:rsidR="00977505" w:rsidRPr="009D524E" w:rsidRDefault="00977505" w:rsidP="00977505">
      <w:pPr>
        <w:rPr>
          <w:i/>
          <w:szCs w:val="22"/>
        </w:rPr>
      </w:pPr>
    </w:p>
    <w:p w:rsidR="00977505" w:rsidRPr="00224AB4" w:rsidRDefault="00977505" w:rsidP="00977505">
      <w:pPr>
        <w:rPr>
          <w:b/>
          <w:szCs w:val="22"/>
        </w:rPr>
      </w:pPr>
      <w:r>
        <w:rPr>
          <w:b/>
          <w:szCs w:val="22"/>
        </w:rPr>
        <w:t>Equation 1</w:t>
      </w:r>
      <w:r w:rsidRPr="00224AB4">
        <w:rPr>
          <w:b/>
          <w:szCs w:val="22"/>
        </w:rPr>
        <w:t>:</w:t>
      </w:r>
      <w:r>
        <w:rPr>
          <w:b/>
          <w:szCs w:val="22"/>
        </w:rPr>
        <w:t xml:space="preserve"> </w:t>
      </w:r>
    </w:p>
    <w:p w:rsidR="00977505" w:rsidRPr="009D524E" w:rsidRDefault="00977505" w:rsidP="00977505">
      <w:pPr>
        <w:rPr>
          <w:szCs w:val="22"/>
        </w:rPr>
      </w:pPr>
    </w:p>
    <w:p w:rsidR="00977505" w:rsidRPr="009D524E" w:rsidRDefault="00977505" w:rsidP="00977505">
      <w:pPr>
        <w:rPr>
          <w:i/>
          <w:szCs w:val="22"/>
        </w:rPr>
      </w:pPr>
      <w:r w:rsidRPr="009D524E">
        <w:rPr>
          <w:i/>
          <w:szCs w:val="22"/>
        </w:rPr>
        <w:t xml:space="preserve">Energy Savings [kWh/unit] = Annual Base Electricity Usage – Annual Energy Efficient </w:t>
      </w:r>
    </w:p>
    <w:p w:rsidR="00977505" w:rsidRDefault="00977505" w:rsidP="00977505">
      <w:pPr>
        <w:rPr>
          <w:i/>
          <w:szCs w:val="22"/>
        </w:rPr>
      </w:pPr>
      <w:r w:rsidRPr="009D524E">
        <w:rPr>
          <w:i/>
          <w:szCs w:val="22"/>
        </w:rPr>
        <w:t>Electricity Usage</w:t>
      </w:r>
    </w:p>
    <w:p w:rsidR="00977505" w:rsidRDefault="00977505" w:rsidP="00977505">
      <w:bookmarkStart w:id="19" w:name="_Toc334002746"/>
    </w:p>
    <w:p w:rsidR="00977505" w:rsidRPr="005D0379" w:rsidRDefault="00977505" w:rsidP="00977505">
      <w:pPr>
        <w:rPr>
          <w:b/>
        </w:rPr>
      </w:pPr>
      <w:r w:rsidRPr="005D0379">
        <w:rPr>
          <w:b/>
        </w:rPr>
        <w:t>Normalization by Residential Furnace Gas Energy Savings</w:t>
      </w:r>
      <w:bookmarkEnd w:id="19"/>
    </w:p>
    <w:p w:rsidR="00977505" w:rsidRPr="00EF6ED9" w:rsidRDefault="00977505" w:rsidP="00977505">
      <w:pPr>
        <w:spacing w:before="200"/>
      </w:pPr>
      <w:r w:rsidRPr="00EF6ED9">
        <w:t>The elect</w:t>
      </w:r>
      <w:r>
        <w:t xml:space="preserve">ricity savings for this measure with VSM </w:t>
      </w:r>
      <w:r w:rsidRPr="00EF6ED9">
        <w:t xml:space="preserve">are normalized and scaled from the results of DOE-2 </w:t>
      </w:r>
      <w:proofErr w:type="spellStart"/>
      <w:r w:rsidR="005509EF">
        <w:t>eQUEST</w:t>
      </w:r>
      <w:proofErr w:type="spellEnd"/>
      <w:r w:rsidR="005509EF">
        <w:t xml:space="preserve"> </w:t>
      </w:r>
      <w:r w:rsidRPr="00EF6ED9">
        <w:t>simulation outputs</w:t>
      </w:r>
      <w:r w:rsidR="005509EF">
        <w:t xml:space="preserve"> from the residential qua</w:t>
      </w:r>
      <w:r w:rsidR="00AB2490">
        <w:t>lity maintenance (PGECOHVC139 R2</w:t>
      </w:r>
      <w:r w:rsidR="005509EF">
        <w:t>) workpaper</w:t>
      </w:r>
      <w:r w:rsidRPr="00EF6ED9">
        <w:t>. The study presents the electrical energy savings in units of “kWh/</w:t>
      </w:r>
      <w:proofErr w:type="spellStart"/>
      <w:r w:rsidRPr="00EF6ED9">
        <w:t>yr</w:t>
      </w:r>
      <w:proofErr w:type="spellEnd"/>
      <w:r w:rsidRPr="00EF6ED9">
        <w:t xml:space="preserve"> per furnace” for furnace sizes in the range of 45-140 </w:t>
      </w:r>
      <w:proofErr w:type="spellStart"/>
      <w:r w:rsidRPr="00EF6ED9">
        <w:t>MBtuh</w:t>
      </w:r>
      <w:proofErr w:type="spellEnd"/>
      <w:r w:rsidRPr="00EF6ED9">
        <w:t xml:space="preserve"> – this range covers the </w:t>
      </w:r>
      <w:r>
        <w:t>8</w:t>
      </w:r>
      <w:r w:rsidRPr="00EF6ED9">
        <w:t xml:space="preserve">0 </w:t>
      </w:r>
      <w:proofErr w:type="spellStart"/>
      <w:r w:rsidRPr="00EF6ED9">
        <w:t>MBtuh</w:t>
      </w:r>
      <w:proofErr w:type="spellEnd"/>
      <w:r>
        <w:t xml:space="preserve"> </w:t>
      </w:r>
      <w:r w:rsidRPr="00EF6ED9">
        <w:t>furnace size assumption made for estimating gas energy savings and equipment costs in Sections 2</w:t>
      </w:r>
      <w:r w:rsidR="00D525A7">
        <w:t>.0</w:t>
      </w:r>
      <w:r w:rsidRPr="00EF6ED9">
        <w:t xml:space="preserve"> </w:t>
      </w:r>
      <w:r>
        <w:t>and 4</w:t>
      </w:r>
      <w:r w:rsidR="00D525A7">
        <w:t>.0</w:t>
      </w:r>
      <w:r>
        <w:t xml:space="preserve">, respectively. </w:t>
      </w:r>
    </w:p>
    <w:p w:rsidR="00977505" w:rsidRPr="00EF6ED9" w:rsidRDefault="00977505" w:rsidP="00977505">
      <w:pPr>
        <w:spacing w:before="200"/>
        <w:rPr>
          <w:color w:val="FF0000"/>
        </w:rPr>
      </w:pPr>
      <w:r>
        <w:t>The natural gas energy savi</w:t>
      </w:r>
      <w:r w:rsidR="00C23085">
        <w:t xml:space="preserve">ngs are calculated from DEER2017 </w:t>
      </w:r>
      <w:r>
        <w:t>and results for each building type, PG&amp;E climate zones, and DEER weighted vintages are used. The DEER calculation methodology is based on r</w:t>
      </w:r>
      <w:r w:rsidRPr="00EF6ED9">
        <w:t xml:space="preserve">esidential natural gas energy savings </w:t>
      </w:r>
      <w:r>
        <w:t>for</w:t>
      </w:r>
      <w:r w:rsidRPr="00EF6ED9">
        <w:t xml:space="preserve"> the “Single Family Home” building type</w:t>
      </w:r>
      <w:r>
        <w:t xml:space="preserve">, </w:t>
      </w:r>
      <w:r w:rsidRPr="00EF6ED9">
        <w:t>since it resembles the description of residential buildings constructed in the DOE-2 simulation models.</w:t>
      </w:r>
    </w:p>
    <w:p w:rsidR="00977505" w:rsidRPr="00EF6ED9" w:rsidRDefault="00977505" w:rsidP="00977505">
      <w:pPr>
        <w:spacing w:before="200"/>
      </w:pPr>
      <w:r w:rsidRPr="00EF6ED9">
        <w:t xml:space="preserve">A sample normalization calculation to project </w:t>
      </w:r>
      <w:r w:rsidR="005A17AC">
        <w:t xml:space="preserve">furnace with </w:t>
      </w:r>
      <w:r w:rsidR="00D27FBA">
        <w:t xml:space="preserve">VSM </w:t>
      </w:r>
      <w:r w:rsidRPr="00EF6ED9">
        <w:t xml:space="preserve">electrical energy savings, </w:t>
      </w:r>
      <w:proofErr w:type="spellStart"/>
      <w:r w:rsidRPr="00EF6ED9">
        <w:t>EES</w:t>
      </w:r>
      <w:r w:rsidR="00614627" w:rsidRPr="00614627">
        <w:rPr>
          <w:vertAlign w:val="subscript"/>
        </w:rPr>
        <w:t>vsm</w:t>
      </w:r>
      <w:proofErr w:type="spellEnd"/>
      <w:r w:rsidR="00614627">
        <w:t>,</w:t>
      </w:r>
      <w:r w:rsidR="00B90CFC">
        <w:t xml:space="preserve"> is </w:t>
      </w:r>
      <w:r w:rsidRPr="00EF6ED9">
        <w:t>shown below:</w:t>
      </w:r>
    </w:p>
    <w:p w:rsidR="00977505" w:rsidRPr="00EF6ED9" w:rsidRDefault="005A17AC" w:rsidP="00977505">
      <w:pPr>
        <w:spacing w:before="120"/>
        <w:jc w:val="center"/>
      </w:pPr>
      <w:r w:rsidRPr="00B90CFC">
        <w:rPr>
          <w:position w:val="-28"/>
        </w:rPr>
        <w:object w:dxaOrig="51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34.5pt" o:ole="">
            <v:imagedata r:id="rId18" o:title=""/>
          </v:shape>
          <o:OLEObject Type="Embed" ProgID="Equation.3" ShapeID="_x0000_i1025" DrawAspect="Content" ObjectID="_1543839985" r:id="rId19"/>
        </w:object>
      </w:r>
    </w:p>
    <w:p w:rsidR="00977505" w:rsidRPr="00EF6ED9" w:rsidRDefault="00977505" w:rsidP="00977505">
      <w:r w:rsidRPr="00EF6ED9">
        <w:t>Where,</w:t>
      </w:r>
    </w:p>
    <w:p w:rsidR="00977505" w:rsidRPr="00EF6ED9" w:rsidRDefault="00977505" w:rsidP="00977505"/>
    <w:p w:rsidR="00977505" w:rsidRPr="00EF6ED9" w:rsidRDefault="00977505" w:rsidP="00977505">
      <w:pPr>
        <w:ind w:left="1627" w:hanging="1627"/>
      </w:pPr>
      <w:r>
        <w:rPr>
          <w:position w:val="-28"/>
          <w:sz w:val="20"/>
          <w:szCs w:val="20"/>
        </w:rPr>
        <w:t xml:space="preserve">          </w:t>
      </w:r>
      <w:r w:rsidR="005A17AC" w:rsidRPr="00AB27AD">
        <w:rPr>
          <w:position w:val="-10"/>
        </w:rPr>
        <w:object w:dxaOrig="2540" w:dyaOrig="300">
          <v:shape id="_x0000_i1026" type="#_x0000_t75" style="width:126.75pt;height:15pt" o:ole="">
            <v:imagedata r:id="rId20" o:title=""/>
          </v:shape>
          <o:OLEObject Type="Embed" ProgID="Equation.3" ShapeID="_x0000_i1026" DrawAspect="Content" ObjectID="_1543839986" r:id="rId21"/>
        </w:object>
      </w:r>
      <w:r w:rsidRPr="00EF6ED9">
        <w:rPr>
          <w:sz w:val="20"/>
          <w:szCs w:val="20"/>
        </w:rPr>
        <w:t xml:space="preserve">   </w:t>
      </w:r>
      <w:r>
        <w:rPr>
          <w:sz w:val="20"/>
          <w:szCs w:val="20"/>
        </w:rPr>
        <w:t>=</w:t>
      </w:r>
      <w:r w:rsidR="005A17AC">
        <w:rPr>
          <w:sz w:val="20"/>
          <w:szCs w:val="20"/>
        </w:rPr>
        <w:tab/>
      </w:r>
      <w:r w:rsidRPr="00EF6ED9">
        <w:t xml:space="preserve">is the electrical energy savings estimated from using a BPM </w:t>
      </w:r>
      <w:r>
        <w:t xml:space="preserve">   </w:t>
      </w:r>
      <w:r>
        <w:tab/>
      </w:r>
      <w:r w:rsidR="005A17AC">
        <w:tab/>
      </w:r>
      <w:r w:rsidR="005A17AC">
        <w:tab/>
      </w:r>
      <w:r w:rsidR="005A17AC">
        <w:tab/>
      </w:r>
      <w:r w:rsidRPr="00EF6ED9">
        <w:t xml:space="preserve">motor from </w:t>
      </w:r>
      <w:r>
        <w:t>DOE2 models</w:t>
      </w:r>
      <w:r w:rsidR="005A17AC">
        <w:t xml:space="preserve"> from the residential quality </w:t>
      </w:r>
      <w:r w:rsidR="005A17AC">
        <w:tab/>
      </w:r>
      <w:r w:rsidR="005A17AC">
        <w:tab/>
      </w:r>
      <w:r w:rsidR="005A17AC">
        <w:tab/>
      </w:r>
      <w:r w:rsidR="005A17AC">
        <w:tab/>
      </w:r>
      <w:r w:rsidR="005A17AC">
        <w:tab/>
        <w:t>maintenance workpaper, PGECOHVC139 R2)</w:t>
      </w:r>
    </w:p>
    <w:p w:rsidR="00977505" w:rsidRPr="00EF6ED9" w:rsidRDefault="00977505" w:rsidP="00977505">
      <w:pPr>
        <w:ind w:left="720" w:hanging="720"/>
      </w:pPr>
      <w:r>
        <w:rPr>
          <w:position w:val="-14"/>
        </w:rPr>
        <w:t xml:space="preserve">           </w:t>
      </w:r>
      <w:r>
        <w:t xml:space="preserve">      </w:t>
      </w:r>
      <w:r w:rsidR="005A17AC">
        <w:tab/>
      </w:r>
      <w:r w:rsidR="005A17AC" w:rsidRPr="00AB27AD">
        <w:rPr>
          <w:position w:val="-12"/>
        </w:rPr>
        <w:object w:dxaOrig="960" w:dyaOrig="360">
          <v:shape id="_x0000_i1027" type="#_x0000_t75" style="width:48pt;height:18pt" o:ole="">
            <v:imagedata r:id="rId22" o:title=""/>
          </v:shape>
          <o:OLEObject Type="Embed" ProgID="Equation.3" ShapeID="_x0000_i1027" DrawAspect="Content" ObjectID="_1543839987" r:id="rId23"/>
        </w:object>
      </w:r>
      <w:r w:rsidR="005A17AC">
        <w:tab/>
        <w:t xml:space="preserve">    </w:t>
      </w:r>
      <w:r>
        <w:t xml:space="preserve"> = </w:t>
      </w:r>
      <w:r w:rsidR="005A17AC">
        <w:tab/>
      </w:r>
      <w:r w:rsidRPr="00EF6ED9">
        <w:t xml:space="preserve">is the </w:t>
      </w:r>
      <w:r w:rsidR="005A17AC">
        <w:t xml:space="preserve">gas energy savings from DEER2015 for nonresidential </w:t>
      </w:r>
      <w:r w:rsidR="005A17AC">
        <w:tab/>
      </w:r>
      <w:r w:rsidR="005A17AC">
        <w:tab/>
      </w:r>
      <w:r w:rsidR="005A17AC">
        <w:tab/>
      </w:r>
      <w:r w:rsidR="005A17AC">
        <w:tab/>
      </w:r>
      <w:r w:rsidR="005A17AC">
        <w:tab/>
        <w:t>buildings.</w:t>
      </w:r>
      <w:r>
        <w:tab/>
        <w:t xml:space="preserve">   </w:t>
      </w:r>
    </w:p>
    <w:p w:rsidR="00977505" w:rsidRPr="00EF6ED9" w:rsidRDefault="00977505" w:rsidP="00977505">
      <w:r>
        <w:rPr>
          <w:position w:val="-14"/>
        </w:rPr>
        <w:tab/>
      </w:r>
      <w:r w:rsidR="005A17AC">
        <w:rPr>
          <w:position w:val="-14"/>
        </w:rPr>
        <w:tab/>
      </w:r>
      <w:r w:rsidR="005A17AC" w:rsidRPr="00AB27AD">
        <w:rPr>
          <w:position w:val="-6"/>
        </w:rPr>
        <w:object w:dxaOrig="620" w:dyaOrig="260">
          <v:shape id="_x0000_i1028" type="#_x0000_t75" style="width:30.75pt;height:12.75pt" o:ole="">
            <v:imagedata r:id="rId24" o:title=""/>
          </v:shape>
          <o:OLEObject Type="Embed" ProgID="Equation.3" ShapeID="_x0000_i1028" DrawAspect="Content" ObjectID="_1543839988" r:id="rId25"/>
        </w:object>
      </w:r>
      <w:r>
        <w:t xml:space="preserve">    </w:t>
      </w:r>
      <w:r w:rsidR="005A17AC">
        <w:tab/>
        <w:t xml:space="preserve">    </w:t>
      </w:r>
      <w:r>
        <w:t xml:space="preserve"> =</w:t>
      </w:r>
      <w:r w:rsidR="005A17AC">
        <w:t xml:space="preserve"> </w:t>
      </w:r>
      <w:r w:rsidR="005A17AC">
        <w:tab/>
      </w:r>
      <w:r w:rsidR="005A17AC" w:rsidRPr="00EF6ED9">
        <w:t xml:space="preserve">is the </w:t>
      </w:r>
      <w:r w:rsidR="005A17AC">
        <w:t xml:space="preserve">gas energy savings from DEER2015 for residential </w:t>
      </w:r>
      <w:r w:rsidR="005A17AC">
        <w:tab/>
      </w:r>
      <w:r w:rsidR="005A17AC">
        <w:tab/>
      </w:r>
      <w:r w:rsidR="005A17AC">
        <w:tab/>
      </w:r>
      <w:r w:rsidR="005A17AC">
        <w:tab/>
      </w:r>
      <w:r w:rsidR="005A17AC">
        <w:tab/>
      </w:r>
      <w:r w:rsidR="005A17AC">
        <w:tab/>
      </w:r>
      <w:r w:rsidR="005A17AC">
        <w:tab/>
        <w:t>homes.</w:t>
      </w:r>
    </w:p>
    <w:p w:rsidR="00977505" w:rsidRDefault="00977505" w:rsidP="00977505">
      <w:pPr>
        <w:rPr>
          <w:color w:val="FF0000"/>
        </w:rPr>
      </w:pPr>
    </w:p>
    <w:p w:rsidR="005A17AC" w:rsidRPr="00EF6ED9" w:rsidRDefault="005A17AC" w:rsidP="00977505">
      <w:pPr>
        <w:rPr>
          <w:color w:val="FF0000"/>
        </w:rPr>
      </w:pPr>
    </w:p>
    <w:p w:rsidR="00977505" w:rsidRDefault="00977505" w:rsidP="00977505">
      <w:r w:rsidRPr="00EF6ED9">
        <w:t>As an example, the annual electrical en</w:t>
      </w:r>
      <w:r>
        <w:t>ergy savings for climate zone 03 in a small office (OFS)</w:t>
      </w:r>
      <w:r w:rsidRPr="00EF6ED9">
        <w:t xml:space="preserve"> </w:t>
      </w:r>
      <w:r>
        <w:t xml:space="preserve">DEER building type </w:t>
      </w:r>
      <w:r w:rsidRPr="00EF6ED9">
        <w:t>can be calculated as follows:</w:t>
      </w:r>
    </w:p>
    <w:p w:rsidR="00977505" w:rsidRPr="00EF6ED9" w:rsidRDefault="00977505" w:rsidP="00977505"/>
    <w:p w:rsidR="00977505" w:rsidRPr="00EF6ED9" w:rsidRDefault="00057AFA" w:rsidP="00977505">
      <w:pPr>
        <w:jc w:val="center"/>
      </w:pPr>
      <w:r w:rsidRPr="00B90CFC">
        <w:rPr>
          <w:position w:val="-28"/>
        </w:rPr>
        <w:object w:dxaOrig="5140" w:dyaOrig="680">
          <v:shape id="_x0000_i1029" type="#_x0000_t75" style="width:255pt;height:34.5pt" o:ole="">
            <v:imagedata r:id="rId26" o:title=""/>
          </v:shape>
          <o:OLEObject Type="Embed" ProgID="Equation.3" ShapeID="_x0000_i1029" DrawAspect="Content" ObjectID="_1543839989" r:id="rId27"/>
        </w:object>
      </w:r>
    </w:p>
    <w:p w:rsidR="00977505" w:rsidRDefault="00977505" w:rsidP="00977505">
      <w:pPr>
        <w:jc w:val="center"/>
      </w:pPr>
    </w:p>
    <w:p w:rsidR="009A0EA5" w:rsidRDefault="001B0358" w:rsidP="00977505">
      <w:pPr>
        <w:jc w:val="center"/>
      </w:pPr>
      <w:r w:rsidRPr="00EF6ED9">
        <w:rPr>
          <w:position w:val="-60"/>
        </w:rPr>
        <w:object w:dxaOrig="3720" w:dyaOrig="1320">
          <v:shape id="_x0000_i1030" type="#_x0000_t75" style="width:186.75pt;height:66pt" o:ole="">
            <v:imagedata r:id="rId28" o:title=""/>
          </v:shape>
          <o:OLEObject Type="Embed" ProgID="Equation.3" ShapeID="_x0000_i1030" DrawAspect="Content" ObjectID="_1543839990" r:id="rId29"/>
        </w:object>
      </w:r>
    </w:p>
    <w:p w:rsidR="00977505" w:rsidRDefault="00977505" w:rsidP="00977505">
      <w:pPr>
        <w:jc w:val="center"/>
      </w:pPr>
    </w:p>
    <w:p w:rsidR="00977505" w:rsidRDefault="00977505" w:rsidP="00977505">
      <w:r w:rsidRPr="00EF6ED9">
        <w:t xml:space="preserve">Peak electrical demand reduction for </w:t>
      </w:r>
      <w:r>
        <w:t>this m</w:t>
      </w:r>
      <w:r w:rsidRPr="00EF6ED9">
        <w:t xml:space="preserve">easure </w:t>
      </w:r>
      <w:r>
        <w:t>with VSM</w:t>
      </w:r>
      <w:r w:rsidRPr="00EF6ED9">
        <w:t xml:space="preserve"> is estimated </w:t>
      </w:r>
      <w:r w:rsidR="00C23085">
        <w:t>with the RQM dispositions which are scaled similar to the kWh/</w:t>
      </w:r>
      <w:proofErr w:type="spellStart"/>
      <w:r w:rsidR="00C23085">
        <w:t>yr</w:t>
      </w:r>
      <w:proofErr w:type="spellEnd"/>
      <w:r w:rsidR="00C23085">
        <w:t xml:space="preserve"> if the demand savings are higher the disposition kW savings will be taken:</w:t>
      </w:r>
    </w:p>
    <w:p w:rsidR="00C23085" w:rsidRDefault="00C23085" w:rsidP="00977505"/>
    <w:p w:rsidR="00C23085" w:rsidRDefault="00057AFA" w:rsidP="00C23085">
      <w:pPr>
        <w:jc w:val="center"/>
      </w:pPr>
      <w:r w:rsidRPr="00C23085">
        <w:rPr>
          <w:position w:val="-24"/>
        </w:rPr>
        <w:object w:dxaOrig="6380" w:dyaOrig="639">
          <v:shape id="_x0000_i1031" type="#_x0000_t75" style="width:316.5pt;height:32.25pt" o:ole="">
            <v:imagedata r:id="rId30" o:title=""/>
          </v:shape>
          <o:OLEObject Type="Embed" ProgID="Equation.3" ShapeID="_x0000_i1031" DrawAspect="Content" ObjectID="_1543839991" r:id="rId31"/>
        </w:object>
      </w:r>
    </w:p>
    <w:p w:rsidR="00C23085" w:rsidRDefault="00C23085" w:rsidP="00C23085">
      <w:pPr>
        <w:jc w:val="center"/>
      </w:pPr>
    </w:p>
    <w:p w:rsidR="00C23085" w:rsidRPr="00EF6ED9" w:rsidRDefault="00C23085" w:rsidP="00C23085">
      <w:pPr>
        <w:jc w:val="center"/>
      </w:pPr>
      <w:r w:rsidRPr="00EF6ED9">
        <w:rPr>
          <w:position w:val="-60"/>
        </w:rPr>
        <w:object w:dxaOrig="3540" w:dyaOrig="1320">
          <v:shape id="_x0000_i1032" type="#_x0000_t75" style="width:177.75pt;height:66pt" o:ole="">
            <v:imagedata r:id="rId32" o:title=""/>
          </v:shape>
          <o:OLEObject Type="Embed" ProgID="Equation.3" ShapeID="_x0000_i1032" DrawAspect="Content" ObjectID="_1543839992" r:id="rId33"/>
        </w:object>
      </w:r>
    </w:p>
    <w:p w:rsidR="00977505" w:rsidRPr="00EF6ED9" w:rsidRDefault="00977505" w:rsidP="00977505">
      <w:pPr>
        <w:rPr>
          <w:i/>
        </w:rPr>
      </w:pPr>
    </w:p>
    <w:p w:rsidR="00977505" w:rsidRDefault="00977505" w:rsidP="00977505">
      <w:pPr>
        <w:spacing w:before="200"/>
        <w:rPr>
          <w:b/>
        </w:rPr>
      </w:pPr>
    </w:p>
    <w:p w:rsidR="00057AFA" w:rsidRDefault="00FA1EA9" w:rsidP="00977505">
      <w:pPr>
        <w:spacing w:before="200"/>
        <w:rPr>
          <w:b/>
        </w:rPr>
      </w:pPr>
      <w:r w:rsidRPr="00956BC5">
        <w:rPr>
          <w:rFonts w:cs="Arial"/>
          <w:szCs w:val="22"/>
        </w:rPr>
        <w:t xml:space="preserve">Gas savings for the </w:t>
      </w:r>
      <w:r>
        <w:rPr>
          <w:rFonts w:cs="Arial"/>
          <w:szCs w:val="22"/>
        </w:rPr>
        <w:t>high efficiency furnace 97 AFUE measure</w:t>
      </w:r>
      <w:r w:rsidRPr="00956BC5">
        <w:rPr>
          <w:rFonts w:cs="Arial"/>
          <w:szCs w:val="22"/>
        </w:rPr>
        <w:t xml:space="preserve"> (Impact ID:</w:t>
      </w:r>
      <w:r w:rsidRPr="00D654E9">
        <w:rPr>
          <w:rFonts w:cs="Arial"/>
          <w:szCs w:val="22"/>
        </w:rPr>
        <w:t xml:space="preserve"> Com-Furnace-</w:t>
      </w:r>
      <w:proofErr w:type="spellStart"/>
      <w:r w:rsidRPr="00D654E9">
        <w:rPr>
          <w:rFonts w:cs="Arial"/>
          <w:szCs w:val="22"/>
        </w:rPr>
        <w:t>dHIR</w:t>
      </w:r>
      <w:proofErr w:type="spellEnd"/>
      <w:r w:rsidRPr="00956BC5">
        <w:rPr>
          <w:rFonts w:cs="Arial"/>
          <w:szCs w:val="22"/>
        </w:rPr>
        <w:t>) were downloaded from the</w:t>
      </w:r>
      <w:r>
        <w:rPr>
          <w:rFonts w:cs="Arial"/>
          <w:szCs w:val="22"/>
        </w:rPr>
        <w:t xml:space="preserve"> DEER2017 READI tool (v2.4.7).</w:t>
      </w:r>
    </w:p>
    <w:p w:rsidR="00057AFA" w:rsidRDefault="00057AFA" w:rsidP="00977505">
      <w:pPr>
        <w:spacing w:before="200"/>
        <w:rPr>
          <w:b/>
        </w:rPr>
      </w:pPr>
    </w:p>
    <w:p w:rsidR="00057AFA" w:rsidRPr="00EF6ED9" w:rsidRDefault="00057AFA" w:rsidP="00977505">
      <w:pPr>
        <w:spacing w:before="200"/>
      </w:pPr>
    </w:p>
    <w:p w:rsidR="00977505" w:rsidRPr="005D0379" w:rsidRDefault="00977505" w:rsidP="00977505">
      <w:pPr>
        <w:rPr>
          <w:b/>
        </w:rPr>
      </w:pPr>
      <w:bookmarkStart w:id="20" w:name="_Toc189543069"/>
      <w:bookmarkStart w:id="21" w:name="_Ref195611251"/>
      <w:bookmarkStart w:id="22" w:name="_Toc334002750"/>
      <w:r w:rsidRPr="005D0379">
        <w:rPr>
          <w:b/>
        </w:rPr>
        <w:t>Scaling of DEER Results</w:t>
      </w:r>
      <w:bookmarkEnd w:id="20"/>
      <w:bookmarkEnd w:id="21"/>
      <w:bookmarkEnd w:id="22"/>
    </w:p>
    <w:p w:rsidR="00977505" w:rsidRPr="00F05BD2" w:rsidRDefault="00977505" w:rsidP="00977505">
      <w:pPr>
        <w:spacing w:before="200"/>
      </w:pPr>
      <w:r w:rsidRPr="00F05BD2">
        <w:t>The gas savings for this measure are calculated from the DEER</w:t>
      </w:r>
      <w:r w:rsidR="00A26E97">
        <w:t xml:space="preserve">2017 </w:t>
      </w:r>
      <w:r w:rsidRPr="00F05BD2">
        <w:t>database</w:t>
      </w:r>
      <w:r w:rsidR="00A26E97">
        <w:t xml:space="preserve"> (2014 last modified)</w:t>
      </w:r>
      <w:r w:rsidRPr="00F05BD2">
        <w:t xml:space="preserve"> impact ID</w:t>
      </w:r>
      <w:r w:rsidR="00DB13F5" w:rsidRPr="00F05BD2">
        <w:t>, Furnace-Pkg_AFUE95,</w:t>
      </w:r>
      <w:r w:rsidRPr="00F05BD2">
        <w:t xml:space="preserve"> as described below. DEER presents the savings in annual </w:t>
      </w:r>
      <w:proofErr w:type="spellStart"/>
      <w:r w:rsidRPr="00F05BD2">
        <w:t>therms</w:t>
      </w:r>
      <w:proofErr w:type="spellEnd"/>
      <w:r w:rsidRPr="00F05BD2">
        <w:t xml:space="preserve">/1,000 square feet served which are converted to units of </w:t>
      </w:r>
      <w:proofErr w:type="spellStart"/>
      <w:r w:rsidRPr="00F05BD2">
        <w:t>therms</w:t>
      </w:r>
      <w:proofErr w:type="spellEnd"/>
      <w:r w:rsidRPr="00F05BD2">
        <w:t>/furnace. The calculation is described below under Normalization.</w:t>
      </w:r>
    </w:p>
    <w:p w:rsidR="006E30ED" w:rsidRDefault="006E30ED" w:rsidP="00977505">
      <w:pPr>
        <w:rPr>
          <w:b/>
        </w:rPr>
      </w:pPr>
      <w:bookmarkStart w:id="23" w:name="_Toc189543070"/>
      <w:bookmarkStart w:id="24" w:name="_Ref194818290"/>
      <w:bookmarkStart w:id="25" w:name="_Ref195611284"/>
      <w:bookmarkStart w:id="26" w:name="_Ref195611319"/>
      <w:bookmarkStart w:id="27" w:name="_Toc334002751"/>
    </w:p>
    <w:p w:rsidR="00977505" w:rsidRPr="005D0379" w:rsidRDefault="00977505" w:rsidP="00977505">
      <w:pPr>
        <w:rPr>
          <w:b/>
        </w:rPr>
      </w:pPr>
      <w:r w:rsidRPr="005D0379">
        <w:rPr>
          <w:b/>
        </w:rPr>
        <w:t xml:space="preserve">Normalization by </w:t>
      </w:r>
      <w:proofErr w:type="spellStart"/>
      <w:r w:rsidRPr="005D0379">
        <w:rPr>
          <w:b/>
        </w:rPr>
        <w:t>MBtuh</w:t>
      </w:r>
      <w:proofErr w:type="spellEnd"/>
      <w:r w:rsidRPr="005D0379">
        <w:rPr>
          <w:b/>
        </w:rPr>
        <w:t xml:space="preserve"> Furnace Input Rating</w:t>
      </w:r>
      <w:bookmarkEnd w:id="23"/>
      <w:bookmarkEnd w:id="24"/>
      <w:bookmarkEnd w:id="25"/>
      <w:bookmarkEnd w:id="26"/>
      <w:bookmarkEnd w:id="27"/>
    </w:p>
    <w:p w:rsidR="00977505" w:rsidRPr="00EF6ED9" w:rsidRDefault="00977505" w:rsidP="00977505">
      <w:pPr>
        <w:spacing w:before="120"/>
      </w:pPr>
      <w:r w:rsidRPr="00EF6ED9">
        <w:t>DEER</w:t>
      </w:r>
      <w:r>
        <w:t>201</w:t>
      </w:r>
      <w:r w:rsidR="00DB13F5">
        <w:t>5 gas</w:t>
      </w:r>
      <w:r w:rsidRPr="00EF6ED9">
        <w:t xml:space="preserve"> energy savings are p</w:t>
      </w:r>
      <w:r w:rsidR="004F0EE0">
        <w:t xml:space="preserve">resented in units of annual </w:t>
      </w:r>
      <w:proofErr w:type="spellStart"/>
      <w:r w:rsidR="004F0EE0">
        <w:t>therms</w:t>
      </w:r>
      <w:proofErr w:type="spellEnd"/>
      <w:r w:rsidRPr="00EF6ED9">
        <w:t xml:space="preserve">/1,000 square feet served. To convert the DEER units of </w:t>
      </w:r>
      <w:proofErr w:type="spellStart"/>
      <w:r w:rsidRPr="00EF6ED9">
        <w:t>therms</w:t>
      </w:r>
      <w:proofErr w:type="spellEnd"/>
      <w:r w:rsidRPr="00EF6ED9">
        <w:t xml:space="preserve">/1,000sqft to </w:t>
      </w:r>
      <w:proofErr w:type="spellStart"/>
      <w:r w:rsidRPr="00EF6ED9">
        <w:t>therm</w:t>
      </w:r>
      <w:proofErr w:type="spellEnd"/>
      <w:r w:rsidRPr="00EF6ED9">
        <w:t xml:space="preserve">/furnace, the units are first converted to </w:t>
      </w:r>
      <w:proofErr w:type="spellStart"/>
      <w:r w:rsidRPr="00EF6ED9">
        <w:t>therms</w:t>
      </w:r>
      <w:proofErr w:type="spellEnd"/>
      <w:r w:rsidRPr="00EF6ED9">
        <w:t>/</w:t>
      </w:r>
      <w:proofErr w:type="spellStart"/>
      <w:r w:rsidRPr="00EF6ED9">
        <w:t>MBtuh</w:t>
      </w:r>
      <w:proofErr w:type="spellEnd"/>
      <w:r w:rsidRPr="00EF6ED9">
        <w:t xml:space="preserve"> using the Connected Load (</w:t>
      </w:r>
      <w:proofErr w:type="spellStart"/>
      <w:r w:rsidRPr="00EF6ED9">
        <w:t>MBtuh</w:t>
      </w:r>
      <w:proofErr w:type="spellEnd"/>
      <w:r w:rsidRPr="00EF6ED9">
        <w:t>/ft</w:t>
      </w:r>
      <w:r w:rsidRPr="00EF6ED9">
        <w:rPr>
          <w:vertAlign w:val="superscript"/>
        </w:rPr>
        <w:t>2</w:t>
      </w:r>
      <w:r w:rsidRPr="00EF6ED9">
        <w:t>) from California’s Commercial End-Use Survey (CEUS</w:t>
      </w:r>
      <w:proofErr w:type="gramStart"/>
      <w:r w:rsidRPr="00EF6ED9">
        <w:t>)</w:t>
      </w:r>
      <w:r w:rsidR="006E30ED">
        <w:t>[</w:t>
      </w:r>
      <w:proofErr w:type="gramEnd"/>
      <w:r w:rsidR="006E30ED">
        <w:t>C]</w:t>
      </w:r>
      <w:r w:rsidRPr="00EF6ED9">
        <w:t>. The calculation is shown below:</w:t>
      </w:r>
    </w:p>
    <w:p w:rsidR="00977505" w:rsidRPr="00EF6ED9" w:rsidRDefault="00FA1EA9" w:rsidP="00977505">
      <w:pPr>
        <w:spacing w:before="120"/>
        <w:jc w:val="center"/>
      </w:pPr>
      <m:oMathPara>
        <m:oMath>
          <m:f>
            <m:fPr>
              <m:ctrlPr>
                <w:rPr>
                  <w:rFonts w:ascii="Cambria Math" w:hAnsi="Cambria Math"/>
                  <w:i/>
                </w:rPr>
              </m:ctrlPr>
            </m:fPr>
            <m:num>
              <m:r>
                <w:rPr>
                  <w:rFonts w:ascii="Cambria Math" w:hAnsi="Cambria Math"/>
                </w:rPr>
                <m:t>Therms</m:t>
              </m:r>
            </m:num>
            <m:den>
              <m:r>
                <w:rPr>
                  <w:rFonts w:ascii="Cambria Math" w:hAnsi="Cambria Math"/>
                </w:rPr>
                <m:t xml:space="preserve">1000 </m:t>
              </m:r>
              <m:sSup>
                <m:sSupPr>
                  <m:ctrlPr>
                    <w:rPr>
                      <w:rFonts w:ascii="Cambria Math" w:hAnsi="Cambria Math"/>
                      <w:i/>
                    </w:rPr>
                  </m:ctrlPr>
                </m:sSupPr>
                <m:e>
                  <m:r>
                    <w:rPr>
                      <w:rFonts w:ascii="Cambria Math" w:hAnsi="Cambria Math"/>
                    </w:rPr>
                    <m:t>ft</m:t>
                  </m:r>
                </m:e>
                <m:sup>
                  <m:r>
                    <w:rPr>
                      <w:rFonts w:ascii="Cambria Math" w:hAnsi="Cambria Math"/>
                    </w:rPr>
                    <m:t>2</m:t>
                  </m:r>
                </m:sup>
              </m:sSup>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ft</m:t>
                  </m:r>
                </m:e>
                <m:sup>
                  <m:r>
                    <w:rPr>
                      <w:rFonts w:ascii="Cambria Math" w:hAnsi="Cambria Math"/>
                    </w:rPr>
                    <m:t>2</m:t>
                  </m:r>
                </m:sup>
              </m:sSup>
            </m:num>
            <m:den>
              <m:r>
                <w:rPr>
                  <w:rFonts w:ascii="Cambria Math" w:hAnsi="Cambria Math"/>
                </w:rPr>
                <m:t>MBtuh</m:t>
              </m:r>
            </m:den>
          </m:f>
          <m:r>
            <w:rPr>
              <w:rFonts w:ascii="Cambria Math" w:hAnsi="Cambria Math"/>
            </w:rPr>
            <m:t>-(</m:t>
          </m:r>
          <m:r>
            <m:rPr>
              <m:sty m:val="p"/>
            </m:rPr>
            <w:rPr>
              <w:rFonts w:ascii="Cambria Math" w:hAnsi="Cambria Math"/>
              <w:position w:val="-24"/>
            </w:rPr>
            <w:object w:dxaOrig="1020" w:dyaOrig="620">
              <v:shape id="_x0000_i1033" type="#_x0000_t75" style="width:51pt;height:30.75pt" o:ole="">
                <v:imagedata r:id="rId34" o:title=""/>
              </v:shape>
              <o:OLEObject Type="Embed" ProgID="Equation.3" ShapeID="_x0000_i1033" DrawAspect="Content" ObjectID="_1543839993" r:id="rId35"/>
            </w:object>
          </m:r>
          <m:r>
            <m:rPr>
              <m:sty m:val="p"/>
            </m:rPr>
            <w:rPr>
              <w:rFonts w:ascii="Cambria Math" w:hAnsi="Cambria Math"/>
            </w:rPr>
            <m:t>×</m:t>
          </m:r>
          <m:r>
            <w:rPr>
              <w:rFonts w:ascii="Cambria Math" w:hAnsi="Cambria Math"/>
            </w:rPr>
            <m:t xml:space="preserve"> therms loss)=</m:t>
          </m:r>
          <m:f>
            <m:fPr>
              <m:ctrlPr>
                <w:rPr>
                  <w:rFonts w:ascii="Cambria Math" w:hAnsi="Cambria Math"/>
                  <w:i/>
                </w:rPr>
              </m:ctrlPr>
            </m:fPr>
            <m:num>
              <m:r>
                <w:rPr>
                  <w:rFonts w:ascii="Cambria Math" w:hAnsi="Cambria Math"/>
                </w:rPr>
                <m:t>Therms</m:t>
              </m:r>
            </m:num>
            <m:den>
              <m:r>
                <w:rPr>
                  <w:rFonts w:ascii="Cambria Math" w:hAnsi="Cambria Math"/>
                </w:rPr>
                <m:t>MBtuh</m:t>
              </m:r>
            </m:den>
          </m:f>
        </m:oMath>
      </m:oMathPara>
    </w:p>
    <w:p w:rsidR="00977505" w:rsidRDefault="00977505" w:rsidP="00977505"/>
    <w:p w:rsidR="00977505" w:rsidRPr="00EF6ED9" w:rsidRDefault="00977505" w:rsidP="00977505">
      <w:r w:rsidRPr="00EF6ED9">
        <w:t>Whe</w:t>
      </w:r>
      <w:r w:rsidR="00DB13F5">
        <w:t>re,</w:t>
      </w:r>
    </w:p>
    <w:p w:rsidR="00977505" w:rsidRPr="00EF6ED9" w:rsidRDefault="00977505" w:rsidP="00977505">
      <w:r>
        <w:rPr>
          <w:position w:val="-28"/>
          <w:sz w:val="20"/>
          <w:szCs w:val="20"/>
        </w:rPr>
        <w:tab/>
      </w:r>
    </w:p>
    <w:p w:rsidR="00977505" w:rsidRDefault="00977505" w:rsidP="00977505">
      <w:r w:rsidRPr="00CE3B3A">
        <w:rPr>
          <w:rFonts w:ascii="Cambria Math" w:hAnsi="Cambria Math"/>
          <w:i/>
        </w:rPr>
        <w:tab/>
      </w:r>
      <w:r w:rsidR="00CE3B3A">
        <w:rPr>
          <w:rFonts w:ascii="Cambria Math" w:hAnsi="Cambria Math"/>
          <w:i/>
        </w:rPr>
        <w:br/>
      </w:r>
      <w:r w:rsidR="00CE3B3A">
        <w:br/>
      </w:r>
      <w:r w:rsidRPr="00EF6ED9">
        <w:tab/>
      </w:r>
      <m:oMath>
        <m:r>
          <m:rPr>
            <m:sty m:val="p"/>
          </m:rPr>
          <w:rPr>
            <w:rFonts w:ascii="Cambria Math" w:hAnsi="Cambria Math"/>
            <w:szCs w:val="22"/>
          </w:rPr>
          <w:br/>
        </m:r>
        <m:f>
          <m:fPr>
            <m:ctrlPr>
              <w:rPr>
                <w:rFonts w:ascii="Cambria Math" w:hAnsi="Cambria Math"/>
                <w:i/>
                <w:sz w:val="28"/>
                <w:szCs w:val="28"/>
              </w:rPr>
            </m:ctrlPr>
          </m:fPr>
          <m:num>
            <m:r>
              <w:rPr>
                <w:rFonts w:ascii="Cambria Math" w:hAnsi="Cambria Math"/>
                <w:sz w:val="28"/>
                <w:szCs w:val="28"/>
              </w:rPr>
              <m:t>Therms</m:t>
            </m:r>
          </m:num>
          <m:den>
            <m:r>
              <w:rPr>
                <w:rFonts w:ascii="Cambria Math" w:hAnsi="Cambria Math"/>
                <w:sz w:val="28"/>
                <w:szCs w:val="28"/>
              </w:rPr>
              <m:t xml:space="preserve">1000 </m:t>
            </m:r>
            <m:sSup>
              <m:sSupPr>
                <m:ctrlPr>
                  <w:rPr>
                    <w:rFonts w:ascii="Cambria Math" w:hAnsi="Cambria Math"/>
                    <w:i/>
                    <w:sz w:val="28"/>
                    <w:szCs w:val="28"/>
                  </w:rPr>
                </m:ctrlPr>
              </m:sSupPr>
              <m:e>
                <m:r>
                  <w:rPr>
                    <w:rFonts w:ascii="Cambria Math" w:hAnsi="Cambria Math"/>
                    <w:sz w:val="28"/>
                    <w:szCs w:val="28"/>
                  </w:rPr>
                  <m:t>ft</m:t>
                </m:r>
              </m:e>
              <m:sup>
                <m:r>
                  <w:rPr>
                    <w:rFonts w:ascii="Cambria Math" w:hAnsi="Cambria Math"/>
                    <w:sz w:val="28"/>
                    <w:szCs w:val="28"/>
                  </w:rPr>
                  <m:t>2</m:t>
                </m:r>
              </m:sup>
            </m:sSup>
          </m:den>
        </m:f>
      </m:oMath>
      <w:r w:rsidR="00CE3B3A" w:rsidRPr="00CE3B3A">
        <w:rPr>
          <w:sz w:val="28"/>
          <w:szCs w:val="28"/>
        </w:rPr>
        <w:t xml:space="preserve"> =</w:t>
      </w:r>
      <w:r>
        <w:t xml:space="preserve"> </w:t>
      </w:r>
      <w:r w:rsidR="00CE3B3A" w:rsidRPr="00EF6ED9">
        <w:t>is the DEER</w:t>
      </w:r>
      <w:r w:rsidR="00CE3B3A">
        <w:t>2017</w:t>
      </w:r>
      <w:r w:rsidR="00CE3B3A" w:rsidRPr="00EF6ED9">
        <w:t xml:space="preserve"> </w:t>
      </w:r>
      <w:r w:rsidR="00CE3B3A">
        <w:t>(Measure ID: Furnace-Pkg_AFUE95)</w:t>
      </w:r>
      <w:r w:rsidR="00CE3B3A" w:rsidRPr="00EF6ED9">
        <w:t xml:space="preserve"> savings data</w:t>
      </w:r>
      <w:r w:rsidR="00CE3B3A">
        <w:t>.</w:t>
      </w:r>
    </w:p>
    <w:p w:rsidR="00CE3B3A" w:rsidRPr="00CE3B3A" w:rsidRDefault="00CE3B3A" w:rsidP="00977505">
      <w:pPr>
        <w:rPr>
          <w:rFonts w:ascii="Cambria Math" w:hAnsi="Cambria Math"/>
          <w:i/>
          <w:szCs w:val="22"/>
        </w:rPr>
      </w:pPr>
    </w:p>
    <w:p w:rsidR="00977505" w:rsidRPr="00EF6ED9" w:rsidRDefault="00FA1EA9" w:rsidP="00CE3B3A">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ft</m:t>
                </m:r>
              </m:e>
              <m:sup>
                <m:r>
                  <w:rPr>
                    <w:rFonts w:ascii="Cambria Math" w:hAnsi="Cambria Math"/>
                    <w:sz w:val="28"/>
                    <w:szCs w:val="28"/>
                  </w:rPr>
                  <m:t>2</m:t>
                </m:r>
              </m:sup>
            </m:sSup>
          </m:num>
          <m:den>
            <m:r>
              <w:rPr>
                <w:rFonts w:ascii="Cambria Math" w:hAnsi="Cambria Math"/>
                <w:sz w:val="28"/>
                <w:szCs w:val="28"/>
              </w:rPr>
              <m:t>MBtuh</m:t>
            </m:r>
          </m:den>
        </m:f>
      </m:oMath>
      <w:r w:rsidR="00CE3B3A" w:rsidRPr="00CE3B3A">
        <w:rPr>
          <w:sz w:val="28"/>
          <w:szCs w:val="28"/>
        </w:rPr>
        <w:t xml:space="preserve"> </w:t>
      </w:r>
      <w:r w:rsidR="00CE3B3A">
        <w:rPr>
          <w:sz w:val="20"/>
          <w:szCs w:val="20"/>
        </w:rPr>
        <w:t xml:space="preserve">= </w:t>
      </w:r>
      <w:r w:rsidR="00977505" w:rsidRPr="00EF6ED9">
        <w:t xml:space="preserve">is the “connected load” data obtained from the CEUS </w:t>
      </w:r>
      <w:r w:rsidR="006E30ED" w:rsidRPr="00EF6ED9">
        <w:t>website</w:t>
      </w:r>
      <w:r w:rsidR="00977505" w:rsidRPr="00EF6ED9">
        <w:t xml:space="preserve">, that is, the average furnace capacity installed per surface area. The CEUS website provides this data for different forecast climate zones and building types. </w:t>
      </w:r>
    </w:p>
    <w:p w:rsidR="00977505" w:rsidRDefault="00977505" w:rsidP="00977505">
      <w:pPr>
        <w:ind w:left="900" w:hanging="900"/>
      </w:pPr>
      <w:r>
        <w:rPr>
          <w:position w:val="-24"/>
        </w:rPr>
        <w:tab/>
      </w:r>
    </w:p>
    <w:p w:rsidR="00977505" w:rsidRPr="00EF6ED9" w:rsidRDefault="00977505" w:rsidP="00DB13F5">
      <w:pPr>
        <w:ind w:left="2880" w:hanging="2880"/>
      </w:pPr>
      <w:r>
        <w:rPr>
          <w:position w:val="-62"/>
        </w:rPr>
        <w:t xml:space="preserve">              </w:t>
      </w:r>
      <w:r>
        <w:tab/>
      </w:r>
    </w:p>
    <w:p w:rsidR="00977505" w:rsidRDefault="00977505" w:rsidP="00977505">
      <w:r w:rsidRPr="00EF6ED9">
        <w:t xml:space="preserve">As </w:t>
      </w:r>
      <w:r w:rsidR="00DB13F5">
        <w:t>an example, the annual gas</w:t>
      </w:r>
      <w:r w:rsidRPr="00EF6ED9">
        <w:t xml:space="preserve"> en</w:t>
      </w:r>
      <w:r>
        <w:t>ergy savings for climate zone 03 in a small office (OFS)</w:t>
      </w:r>
      <w:r w:rsidRPr="00EF6ED9">
        <w:t xml:space="preserve"> </w:t>
      </w:r>
      <w:r>
        <w:t xml:space="preserve">DEER building type </w:t>
      </w:r>
      <w:r w:rsidRPr="00EF6ED9">
        <w:t>can be calculated as follows:</w:t>
      </w:r>
    </w:p>
    <w:p w:rsidR="00864B9E" w:rsidRPr="00CE3B3A" w:rsidRDefault="00864B9E" w:rsidP="00977505"/>
    <w:p w:rsidR="00CE3B3A" w:rsidRPr="00864B9E" w:rsidRDefault="00CE3B3A" w:rsidP="00977505"/>
    <w:p w:rsidR="00864B9E" w:rsidRDefault="00FA1EA9" w:rsidP="00977505">
      <m:oMathPara>
        <m:oMath>
          <m:f>
            <m:fPr>
              <m:ctrlPr>
                <w:rPr>
                  <w:rFonts w:ascii="Cambria Math" w:hAnsi="Cambria Math"/>
                  <w:i/>
                </w:rPr>
              </m:ctrlPr>
            </m:fPr>
            <m:num>
              <m:r>
                <w:rPr>
                  <w:rFonts w:ascii="Cambria Math" w:hAnsi="Cambria Math"/>
                </w:rPr>
                <m:t>2.14 Therms</m:t>
              </m:r>
            </m:num>
            <m:den>
              <m:r>
                <w:rPr>
                  <w:rFonts w:ascii="Cambria Math" w:hAnsi="Cambria Math"/>
                </w:rPr>
                <m:t xml:space="preserve">1000 </m:t>
              </m:r>
              <m:sSup>
                <m:sSupPr>
                  <m:ctrlPr>
                    <w:rPr>
                      <w:rFonts w:ascii="Cambria Math" w:hAnsi="Cambria Math"/>
                      <w:i/>
                    </w:rPr>
                  </m:ctrlPr>
                </m:sSupPr>
                <m:e>
                  <m:r>
                    <w:rPr>
                      <w:rFonts w:ascii="Cambria Math" w:hAnsi="Cambria Math"/>
                    </w:rPr>
                    <m:t>ft</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 xml:space="preserve">44.045 </m:t>
              </m:r>
              <m:sSup>
                <m:sSupPr>
                  <m:ctrlPr>
                    <w:rPr>
                      <w:rFonts w:ascii="Cambria Math" w:hAnsi="Cambria Math"/>
                      <w:i/>
                    </w:rPr>
                  </m:ctrlPr>
                </m:sSupPr>
                <m:e>
                  <m:r>
                    <w:rPr>
                      <w:rFonts w:ascii="Cambria Math" w:hAnsi="Cambria Math"/>
                    </w:rPr>
                    <m:t>ft</m:t>
                  </m:r>
                </m:e>
                <m:sup>
                  <m:r>
                    <w:rPr>
                      <w:rFonts w:ascii="Cambria Math" w:hAnsi="Cambria Math"/>
                    </w:rPr>
                    <m:t>2</m:t>
                  </m:r>
                </m:sup>
              </m:sSup>
              <m:r>
                <w:rPr>
                  <w:rFonts w:ascii="Cambria Math" w:hAnsi="Cambria Math"/>
                </w:rPr>
                <m:t xml:space="preserve"> </m:t>
              </m:r>
            </m:num>
            <m:den>
              <m:r>
                <w:rPr>
                  <w:rFonts w:ascii="Cambria Math" w:hAnsi="Cambria Math"/>
                </w:rPr>
                <m:t>1 MBtuh</m:t>
              </m:r>
            </m:den>
          </m:f>
          <m:r>
            <w:rPr>
              <w:rFonts w:ascii="Cambria Math" w:hAnsi="Cambria Math"/>
            </w:rPr>
            <m:t>=</m:t>
          </m:r>
          <m:f>
            <m:fPr>
              <m:ctrlPr>
                <w:rPr>
                  <w:rFonts w:ascii="Cambria Math" w:hAnsi="Cambria Math"/>
                  <w:i/>
                </w:rPr>
              </m:ctrlPr>
            </m:fPr>
            <m:num>
              <m:r>
                <w:rPr>
                  <w:rFonts w:ascii="Cambria Math" w:hAnsi="Cambria Math"/>
                </w:rPr>
                <m:t>.09425 therms</m:t>
              </m:r>
            </m:num>
            <m:den>
              <m:r>
                <w:rPr>
                  <w:rFonts w:ascii="Cambria Math" w:hAnsi="Cambria Math"/>
                </w:rPr>
                <m:t>MBtuh</m:t>
              </m:r>
            </m:den>
          </m:f>
        </m:oMath>
      </m:oMathPara>
    </w:p>
    <w:p w:rsidR="00CE3B3A" w:rsidRDefault="00CE3B3A" w:rsidP="00977505">
      <w:pPr>
        <w:jc w:val="center"/>
      </w:pPr>
    </w:p>
    <w:p w:rsidR="00CE3B3A" w:rsidRPr="00EF6ED9" w:rsidRDefault="00CE3B3A" w:rsidP="00977505">
      <w:pPr>
        <w:jc w:val="center"/>
      </w:pPr>
    </w:p>
    <w:p w:rsidR="00977505" w:rsidRPr="00EF6ED9" w:rsidRDefault="00977505" w:rsidP="00977505">
      <w:pPr>
        <w:jc w:val="center"/>
      </w:pPr>
    </w:p>
    <w:p w:rsidR="00977505" w:rsidRPr="00EF6ED9" w:rsidRDefault="00977505" w:rsidP="00977505">
      <w:bookmarkStart w:id="28" w:name="_GoBack"/>
      <w:r w:rsidRPr="00EF6ED9">
        <w:t xml:space="preserve">Assuming a furnace input rating of </w:t>
      </w:r>
      <w:r>
        <w:t>8</w:t>
      </w:r>
      <w:r w:rsidRPr="00EF6ED9">
        <w:t xml:space="preserve">0 </w:t>
      </w:r>
      <w:proofErr w:type="spellStart"/>
      <w:r w:rsidRPr="00EF6ED9">
        <w:t>MBtuh</w:t>
      </w:r>
      <w:proofErr w:type="spellEnd"/>
      <w:r w:rsidR="0024206C">
        <w:t xml:space="preserve"> and accounting for the loss of </w:t>
      </w:r>
      <w:proofErr w:type="spellStart"/>
      <w:r w:rsidR="0024206C">
        <w:t>therms</w:t>
      </w:r>
      <w:proofErr w:type="spellEnd"/>
      <w:r w:rsidR="0024206C">
        <w:t xml:space="preserve"> because of the more efficient motor</w:t>
      </w:r>
      <w:r w:rsidRPr="00EF6ED9">
        <w:t>,</w:t>
      </w:r>
      <w:bookmarkEnd w:id="28"/>
    </w:p>
    <w:p w:rsidR="00977505" w:rsidRPr="00EF6ED9" w:rsidRDefault="00977505" w:rsidP="00977505"/>
    <w:p w:rsidR="00977505" w:rsidRPr="00EF6ED9" w:rsidRDefault="00FA1EA9" w:rsidP="00977505">
      <w:pPr>
        <w:jc w:val="center"/>
      </w:pPr>
      <m:oMathPara>
        <m:oMath>
          <m:f>
            <m:fPr>
              <m:ctrlPr>
                <w:rPr>
                  <w:rFonts w:ascii="Cambria Math" w:hAnsi="Cambria Math"/>
                  <w:i/>
                </w:rPr>
              </m:ctrlPr>
            </m:fPr>
            <m:num>
              <m:r>
                <w:rPr>
                  <w:rFonts w:ascii="Cambria Math" w:hAnsi="Cambria Math"/>
                </w:rPr>
                <m:t>.09425 therms</m:t>
              </m:r>
            </m:num>
            <m:den>
              <m:r>
                <w:rPr>
                  <w:rFonts w:ascii="Cambria Math" w:hAnsi="Cambria Math"/>
                </w:rPr>
                <m:t>MBtuh</m:t>
              </m:r>
            </m:den>
          </m:f>
          <m:r>
            <w:rPr>
              <w:rFonts w:ascii="Cambria Math" w:hAnsi="Cambria Math"/>
            </w:rPr>
            <m:t>×80 MBtuh -</m:t>
          </m:r>
          <m:r>
            <m:rPr>
              <m:sty m:val="p"/>
            </m:rPr>
            <w:rPr>
              <w:rFonts w:ascii="Cambria Math" w:hAnsi="Cambria Math"/>
              <w:position w:val="-58"/>
            </w:rPr>
            <w:object w:dxaOrig="1380" w:dyaOrig="1280">
              <v:shape id="_x0000_i1034" type="#_x0000_t75" style="width:69pt;height:63.75pt" o:ole="">
                <v:imagedata r:id="rId36" o:title=""/>
              </v:shape>
              <o:OLEObject Type="Embed" ProgID="Equation.3" ShapeID="_x0000_i1034" DrawAspect="Content" ObjectID="_1543839994" r:id="rId37"/>
            </w:object>
          </m:r>
          <m:r>
            <m:rPr>
              <m:sty m:val="p"/>
            </m:rPr>
            <w:rPr>
              <w:rFonts w:ascii="Cambria Math" w:hAnsi="Cambria Math"/>
            </w:rPr>
            <m:t xml:space="preserve">×2.967 </m:t>
          </m:r>
          <m:r>
            <w:rPr>
              <w:rFonts w:ascii="Cambria Math" w:hAnsi="Cambria Math"/>
            </w:rPr>
            <m:t>Therms=6.99 therms per f</m:t>
          </m:r>
          <m:r>
            <w:rPr>
              <w:rFonts w:ascii="Cambria Math" w:hAnsi="Cambria Math"/>
            </w:rPr>
            <m:t>urnace</m:t>
          </m:r>
        </m:oMath>
      </m:oMathPara>
    </w:p>
    <w:p w:rsidR="00977505" w:rsidRPr="00EF6ED9" w:rsidRDefault="00977505" w:rsidP="00977505">
      <w:pPr>
        <w:spacing w:before="200"/>
      </w:pPr>
      <w:r w:rsidRPr="00EF6ED9">
        <w:lastRenderedPageBreak/>
        <w:t xml:space="preserve">In order to convert CEUS Energy-use Indices data from the climate zones (zones 1 through 5 for PG&amp;E service territory) to the CEC Title 24 climate zones that is used in DEER, a mapping based on kWh consumption was developed. It was assumed that kWh consumption would be a reasonable proxy for square footage for a given building type and climate zone. </w:t>
      </w:r>
    </w:p>
    <w:p w:rsidR="00977505" w:rsidRPr="00EF6ED9" w:rsidRDefault="00977505" w:rsidP="00977505">
      <w:pPr>
        <w:autoSpaceDE w:val="0"/>
        <w:autoSpaceDN w:val="0"/>
        <w:adjustRightInd w:val="0"/>
        <w:spacing w:before="200"/>
      </w:pPr>
      <w:r>
        <w:t>T</w:t>
      </w:r>
      <w:r w:rsidRPr="00EF6ED9">
        <w:t xml:space="preserve">o convert </w:t>
      </w:r>
      <w:proofErr w:type="spellStart"/>
      <w:r w:rsidRPr="00EF6ED9">
        <w:t>therms</w:t>
      </w:r>
      <w:proofErr w:type="spellEnd"/>
      <w:r w:rsidRPr="00EF6ED9">
        <w:t>/</w:t>
      </w:r>
      <w:proofErr w:type="spellStart"/>
      <w:r w:rsidRPr="00EF6ED9">
        <w:t>MBtuh</w:t>
      </w:r>
      <w:proofErr w:type="spellEnd"/>
      <w:r w:rsidRPr="00EF6ED9">
        <w:t xml:space="preserve"> to </w:t>
      </w:r>
      <w:proofErr w:type="spellStart"/>
      <w:r w:rsidRPr="00EF6ED9">
        <w:t>therms</w:t>
      </w:r>
      <w:proofErr w:type="spellEnd"/>
      <w:r w:rsidRPr="00EF6ED9">
        <w:t xml:space="preserve">/furnace, we estimated an average furnace input capacity of </w:t>
      </w:r>
      <w:r>
        <w:t>8</w:t>
      </w:r>
      <w:r w:rsidRPr="00EF6ED9">
        <w:t xml:space="preserve">0 </w:t>
      </w:r>
      <w:proofErr w:type="spellStart"/>
      <w:proofErr w:type="gramStart"/>
      <w:r w:rsidRPr="00EF6ED9">
        <w:t>M</w:t>
      </w:r>
      <w:r w:rsidR="006E30ED" w:rsidRPr="00EF6ED9">
        <w:t>b</w:t>
      </w:r>
      <w:r w:rsidRPr="00EF6ED9">
        <w:t>tuh</w:t>
      </w:r>
      <w:proofErr w:type="spellEnd"/>
      <w:r w:rsidR="006E30ED">
        <w:t>[</w:t>
      </w:r>
      <w:proofErr w:type="gramEnd"/>
      <w:r w:rsidR="006E30ED">
        <w:t>D]</w:t>
      </w:r>
      <w:r w:rsidRPr="00EF6ED9">
        <w:t xml:space="preserve">. This is based on </w:t>
      </w:r>
      <w:r>
        <w:t xml:space="preserve">the DOE Rules and Regulations Report: Energy Conservation Standards for Residential Furnaces and Residential Central Air Conditioners and Heat Pumps, </w:t>
      </w:r>
      <w:r w:rsidRPr="00EF6ED9">
        <w:t xml:space="preserve">which contains the </w:t>
      </w:r>
      <w:r>
        <w:t>average characteristics of residential furnaces, including the average input capacity for residential gas furnaces based on product literature and furnace manufacturer website data.</w:t>
      </w:r>
      <w:r w:rsidRPr="00EF6ED9">
        <w:t xml:space="preserve">  It is assumed that residential input capacity is a good estimate for this non</w:t>
      </w:r>
      <w:r w:rsidRPr="00EF6ED9">
        <w:noBreakHyphen/>
        <w:t>residential measure because the furnaces are of similar size since the standard is in AFUE – efficiency measurement for smaller furnaces. The range of sizes available for the residential</w:t>
      </w:r>
      <w:r w:rsidRPr="00EF6ED9">
        <w:noBreakHyphen/>
        <w:t xml:space="preserve">scale furnaces is 60-140 </w:t>
      </w:r>
      <w:proofErr w:type="spellStart"/>
      <w:r w:rsidRPr="00EF6ED9">
        <w:t>MBtuh</w:t>
      </w:r>
      <w:proofErr w:type="spellEnd"/>
      <w:r w:rsidRPr="00EF6ED9">
        <w:t>.</w:t>
      </w:r>
      <w:r>
        <w:t xml:space="preserve"> </w:t>
      </w:r>
      <w:r w:rsidRPr="00EF6ED9">
        <w:t xml:space="preserve"> Non-residential furnaces can range from 45 to 400 </w:t>
      </w:r>
      <w:proofErr w:type="spellStart"/>
      <w:r w:rsidRPr="00EF6ED9">
        <w:t>MBtuh</w:t>
      </w:r>
      <w:proofErr w:type="spellEnd"/>
      <w:r w:rsidRPr="00EF6ED9">
        <w:t xml:space="preserve"> in size.  However, furnaces sized greater than 225 </w:t>
      </w:r>
      <w:proofErr w:type="spellStart"/>
      <w:r w:rsidRPr="00EF6ED9">
        <w:t>MBtuh</w:t>
      </w:r>
      <w:proofErr w:type="spellEnd"/>
      <w:r w:rsidRPr="00EF6ED9">
        <w:t xml:space="preserve"> are rated by thermal efficiency, not AFUE and are not covered by this work paper. The largest furnace listed at </w:t>
      </w:r>
      <w:r>
        <w:t>95%</w:t>
      </w:r>
      <w:r w:rsidRPr="00EF6ED9">
        <w:t xml:space="preserve"> AFUE or greater on the AHRI</w:t>
      </w:r>
      <w:r>
        <w:t>.</w:t>
      </w:r>
      <w:r w:rsidRPr="00EF6ED9">
        <w:t>net website is 1</w:t>
      </w:r>
      <w:r>
        <w:t>26</w:t>
      </w:r>
      <w:r w:rsidRPr="00EF6ED9">
        <w:t xml:space="preserve"> </w:t>
      </w:r>
      <w:proofErr w:type="spellStart"/>
      <w:r w:rsidRPr="00EF6ED9">
        <w:t>MBtuh</w:t>
      </w:r>
      <w:proofErr w:type="spellEnd"/>
      <w:r w:rsidRPr="00EF6ED9">
        <w:t xml:space="preserve"> input rating.   </w:t>
      </w:r>
    </w:p>
    <w:p w:rsidR="00977505" w:rsidRDefault="00977505" w:rsidP="00977505">
      <w:pPr>
        <w:autoSpaceDE w:val="0"/>
        <w:autoSpaceDN w:val="0"/>
        <w:adjustRightInd w:val="0"/>
        <w:spacing w:before="200"/>
      </w:pPr>
      <w:r w:rsidRPr="00EF6ED9">
        <w:t>PG&amp;E billing data, by account, were assigned to CEUS Forecast Climate Zones and Title 24 climate zones, using the service zip code of the account. Then the kWh usage was cross</w:t>
      </w:r>
      <w:r w:rsidRPr="00EF6ED9">
        <w:noBreakHyphen/>
        <w:t xml:space="preserve">referenced by each climate zone for each key building type (Food, Hotel, Hospital, Large Office, </w:t>
      </w:r>
      <w:proofErr w:type="spellStart"/>
      <w:r w:rsidRPr="00EF6ED9">
        <w:t>Misc</w:t>
      </w:r>
      <w:proofErr w:type="spellEnd"/>
      <w:r w:rsidRPr="00EF6ED9">
        <w:t>, Restaurant, Retail, School, Small Office, University, Warehouse – non</w:t>
      </w:r>
      <w:r w:rsidRPr="00EF6ED9">
        <w:noBreakHyphen/>
        <w:t>refrigerate</w:t>
      </w:r>
      <w:r>
        <w:t>d</w:t>
      </w:r>
      <w:r w:rsidRPr="00EF6ED9">
        <w:t>, and Warehouse – refrigerated) since CEUS and DEER building types are dissimilar</w:t>
      </w:r>
      <w:r>
        <w:t>.</w:t>
      </w:r>
    </w:p>
    <w:p w:rsidR="006D5A67" w:rsidRDefault="006D5A67" w:rsidP="00977505">
      <w:pPr>
        <w:autoSpaceDE w:val="0"/>
        <w:autoSpaceDN w:val="0"/>
        <w:adjustRightInd w:val="0"/>
        <w:spacing w:before="200"/>
      </w:pPr>
      <w:r w:rsidRPr="00EF6ED9">
        <w:t>A sample weather normalization calculation to convert CEUS to DEER climate zone is shown in the references section of this workpaper.</w:t>
      </w:r>
    </w:p>
    <w:p w:rsidR="00E16609" w:rsidRPr="00397406" w:rsidRDefault="00E16609" w:rsidP="00E16609">
      <w:pPr>
        <w:pStyle w:val="Heading1"/>
        <w:keepNext w:val="0"/>
        <w:rPr>
          <w:rFonts w:cstheme="minorHAnsi"/>
        </w:rPr>
      </w:pPr>
      <w:bookmarkStart w:id="29" w:name="_Toc214003093"/>
      <w:r w:rsidRPr="00397406">
        <w:rPr>
          <w:rFonts w:cstheme="minorHAnsi"/>
        </w:rPr>
        <w:t>Section 3</w:t>
      </w:r>
      <w:r w:rsidR="001D3223" w:rsidRPr="00397406">
        <w:rPr>
          <w:rFonts w:cstheme="minorHAnsi"/>
        </w:rPr>
        <w:t>:</w:t>
      </w:r>
      <w:r w:rsidRPr="00397406">
        <w:rPr>
          <w:rFonts w:cstheme="minorHAnsi"/>
        </w:rPr>
        <w:t xml:space="preserve"> Load Shape</w:t>
      </w:r>
      <w:bookmarkEnd w:id="29"/>
      <w:r w:rsidRPr="00397406">
        <w:rPr>
          <w:rFonts w:cstheme="minorHAnsi"/>
        </w:rPr>
        <w:t>s</w:t>
      </w:r>
    </w:p>
    <w:p w:rsidR="00E16609" w:rsidRPr="00397406" w:rsidRDefault="008F2167" w:rsidP="00E16609">
      <w:pPr>
        <w:rPr>
          <w:rFonts w:cstheme="minorHAnsi"/>
          <w:szCs w:val="22"/>
        </w:rPr>
      </w:pPr>
      <w:r w:rsidRPr="00397406">
        <w:rPr>
          <w:rFonts w:cstheme="minorHAnsi"/>
          <w:szCs w:val="22"/>
        </w:rPr>
        <w:t xml:space="preserve">The ideal load shape for net benefits estimates would represent the difference between the base case and measure case. </w:t>
      </w:r>
      <w:r w:rsidR="00263C1C" w:rsidRPr="00397406">
        <w:rPr>
          <w:rFonts w:cstheme="minorHAnsi"/>
          <w:szCs w:val="22"/>
        </w:rPr>
        <w:t>T</w:t>
      </w:r>
      <w:r w:rsidRPr="00397406">
        <w:rPr>
          <w:rFonts w:cstheme="minorHAnsi"/>
          <w:szCs w:val="22"/>
        </w:rPr>
        <w:t xml:space="preserve">he closest </w:t>
      </w:r>
      <w:r w:rsidR="000173BF" w:rsidRPr="00397406">
        <w:rPr>
          <w:rFonts w:cstheme="minorHAnsi"/>
          <w:szCs w:val="22"/>
        </w:rPr>
        <w:t>load shapes that are applicable to the measures in this work paper are</w:t>
      </w:r>
      <w:r w:rsidR="00E16609" w:rsidRPr="00397406">
        <w:rPr>
          <w:rFonts w:cstheme="minorHAnsi"/>
          <w:szCs w:val="22"/>
        </w:rPr>
        <w:t xml:space="preserve"> </w:t>
      </w:r>
      <w:r w:rsidR="000173BF" w:rsidRPr="00397406">
        <w:rPr>
          <w:rFonts w:cstheme="minorHAnsi"/>
          <w:szCs w:val="22"/>
        </w:rPr>
        <w:t>listed in the table below.</w:t>
      </w:r>
    </w:p>
    <w:p w:rsidR="000173BF" w:rsidRPr="00397406" w:rsidRDefault="000173BF" w:rsidP="00E16609">
      <w:pPr>
        <w:rPr>
          <w:rFonts w:cstheme="minorHAnsi"/>
          <w:szCs w:val="22"/>
        </w:rPr>
      </w:pPr>
    </w:p>
    <w:p w:rsidR="00E16609" w:rsidRPr="00397406" w:rsidRDefault="003F0623" w:rsidP="003F0623">
      <w:pPr>
        <w:pStyle w:val="Caption"/>
        <w:jc w:val="center"/>
        <w:rPr>
          <w:rFonts w:cstheme="minorHAnsi"/>
          <w:b w:val="0"/>
          <w:szCs w:val="22"/>
        </w:rPr>
      </w:pPr>
      <w:bookmarkStart w:id="30" w:name="_Ref296597958"/>
      <w:r w:rsidRPr="00397406">
        <w:rPr>
          <w:rFonts w:cstheme="minorHAnsi"/>
          <w:szCs w:val="22"/>
        </w:rPr>
        <w:t xml:space="preserve">Table </w:t>
      </w:r>
      <w:bookmarkEnd w:id="30"/>
      <w:r w:rsidR="00751A39">
        <w:rPr>
          <w:rFonts w:cstheme="minorHAnsi"/>
          <w:szCs w:val="22"/>
        </w:rPr>
        <w:t>8</w:t>
      </w:r>
      <w:r w:rsidR="001D3223" w:rsidRPr="00397406">
        <w:rPr>
          <w:rFonts w:cstheme="minorHAnsi"/>
          <w:szCs w:val="22"/>
        </w:rPr>
        <w:t>:</w:t>
      </w:r>
      <w:r w:rsidRPr="00397406">
        <w:rPr>
          <w:rFonts w:cstheme="minorHAnsi"/>
          <w:szCs w:val="22"/>
        </w:rPr>
        <w:t xml:space="preserve"> </w:t>
      </w:r>
      <w:r w:rsidR="002A3D26" w:rsidRPr="00397406">
        <w:rPr>
          <w:rFonts w:cstheme="minorHAnsi"/>
          <w:szCs w:val="22"/>
        </w:rPr>
        <w:t>Building Types</w:t>
      </w:r>
      <w:r w:rsidR="00E16609" w:rsidRPr="00397406">
        <w:rPr>
          <w:rFonts w:cstheme="minorHAnsi"/>
          <w:szCs w:val="22"/>
        </w:rPr>
        <w:t xml:space="preserve"> and Load Shapes</w:t>
      </w:r>
    </w:p>
    <w:tbl>
      <w:tblPr>
        <w:tblStyle w:val="TableContemporary"/>
        <w:tblW w:w="4473" w:type="pct"/>
        <w:jc w:val="center"/>
        <w:tblInd w:w="-838" w:type="dxa"/>
        <w:tblLook w:val="01E0" w:firstRow="1" w:lastRow="1" w:firstColumn="1" w:lastColumn="1" w:noHBand="0" w:noVBand="0"/>
      </w:tblPr>
      <w:tblGrid>
        <w:gridCol w:w="1923"/>
        <w:gridCol w:w="4055"/>
        <w:gridCol w:w="2589"/>
      </w:tblGrid>
      <w:tr w:rsidR="00263C1C" w:rsidRPr="00397406" w:rsidTr="006D5A67">
        <w:trPr>
          <w:cnfStyle w:val="100000000000" w:firstRow="1" w:lastRow="0" w:firstColumn="0" w:lastColumn="0" w:oddVBand="0" w:evenVBand="0" w:oddHBand="0" w:evenHBand="0" w:firstRowFirstColumn="0" w:firstRowLastColumn="0" w:lastRowFirstColumn="0" w:lastRowLastColumn="0"/>
          <w:jc w:val="center"/>
        </w:trPr>
        <w:tc>
          <w:tcPr>
            <w:tcW w:w="1122"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Building Type</w:t>
            </w:r>
          </w:p>
        </w:tc>
        <w:tc>
          <w:tcPr>
            <w:tcW w:w="2366" w:type="pct"/>
            <w:vAlign w:val="center"/>
          </w:tcPr>
          <w:p w:rsidR="00263C1C" w:rsidRPr="006D5A67" w:rsidRDefault="00263C1C" w:rsidP="00155A1E">
            <w:pPr>
              <w:jc w:val="center"/>
              <w:rPr>
                <w:rFonts w:asciiTheme="minorHAnsi" w:hAnsiTheme="minorHAnsi" w:cstheme="minorHAnsi"/>
                <w:sz w:val="22"/>
                <w:szCs w:val="22"/>
              </w:rPr>
            </w:pPr>
            <w:r w:rsidRPr="006D5A67">
              <w:rPr>
                <w:rFonts w:asciiTheme="minorHAnsi" w:hAnsiTheme="minorHAnsi" w:cstheme="minorHAnsi"/>
                <w:sz w:val="22"/>
                <w:szCs w:val="22"/>
              </w:rPr>
              <w:t>Load Shape</w:t>
            </w:r>
          </w:p>
        </w:tc>
        <w:tc>
          <w:tcPr>
            <w:tcW w:w="1511"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E3 Alt. Building Type</w:t>
            </w:r>
          </w:p>
        </w:tc>
      </w:tr>
      <w:tr w:rsidR="00426FC2" w:rsidRPr="00397406" w:rsidTr="006D5A67">
        <w:trPr>
          <w:cnfStyle w:val="000000100000" w:firstRow="0" w:lastRow="0" w:firstColumn="0" w:lastColumn="0" w:oddVBand="0" w:evenVBand="0" w:oddHBand="1" w:evenHBand="0" w:firstRowFirstColumn="0" w:firstRowLastColumn="0" w:lastRowFirstColumn="0" w:lastRowLastColumn="0"/>
          <w:jc w:val="center"/>
        </w:trPr>
        <w:tc>
          <w:tcPr>
            <w:tcW w:w="1122" w:type="pct"/>
            <w:vAlign w:val="center"/>
          </w:tcPr>
          <w:p w:rsidR="00426FC2" w:rsidRPr="006D5A67" w:rsidRDefault="006D5A67" w:rsidP="006D5A67">
            <w:pPr>
              <w:spacing w:after="120"/>
              <w:rPr>
                <w:rFonts w:asciiTheme="minorHAnsi" w:hAnsiTheme="minorHAnsi" w:cstheme="minorHAnsi"/>
                <w:sz w:val="22"/>
                <w:szCs w:val="22"/>
              </w:rPr>
            </w:pPr>
            <w:r w:rsidRPr="006D5A67">
              <w:rPr>
                <w:rFonts w:asciiTheme="minorHAnsi" w:hAnsiTheme="minorHAnsi" w:cstheme="minorHAnsi"/>
                <w:sz w:val="22"/>
                <w:szCs w:val="22"/>
              </w:rPr>
              <w:t>All Commercial</w:t>
            </w:r>
          </w:p>
        </w:tc>
        <w:tc>
          <w:tcPr>
            <w:tcW w:w="2366" w:type="pct"/>
            <w:vAlign w:val="center"/>
          </w:tcPr>
          <w:p w:rsidR="00426FC2" w:rsidRPr="00A91644" w:rsidRDefault="00263B50" w:rsidP="00155A1E">
            <w:pPr>
              <w:jc w:val="center"/>
              <w:rPr>
                <w:rFonts w:asciiTheme="minorHAnsi" w:hAnsiTheme="minorHAnsi" w:cstheme="minorHAnsi"/>
                <w:sz w:val="22"/>
                <w:szCs w:val="22"/>
                <w:highlight w:val="yellow"/>
              </w:rPr>
            </w:pPr>
            <w:r w:rsidRPr="00263B50">
              <w:rPr>
                <w:rFonts w:asciiTheme="minorHAnsi" w:hAnsiTheme="minorHAnsi" w:cstheme="minorHAnsi"/>
                <w:sz w:val="22"/>
                <w:szCs w:val="22"/>
              </w:rPr>
              <w:t>PGE:COMMERCIAL:3 = Commercial HVAC</w:t>
            </w:r>
          </w:p>
        </w:tc>
        <w:tc>
          <w:tcPr>
            <w:tcW w:w="1511" w:type="pct"/>
            <w:vAlign w:val="center"/>
          </w:tcPr>
          <w:p w:rsidR="00426FC2" w:rsidRPr="006D5A67" w:rsidRDefault="00426FC2" w:rsidP="00155A1E">
            <w:pPr>
              <w:jc w:val="center"/>
              <w:rPr>
                <w:rFonts w:asciiTheme="minorHAnsi" w:hAnsiTheme="minorHAnsi" w:cstheme="minorHAnsi"/>
                <w:sz w:val="22"/>
                <w:szCs w:val="22"/>
              </w:rPr>
            </w:pPr>
            <w:r w:rsidRPr="006D5A67">
              <w:rPr>
                <w:rFonts w:asciiTheme="minorHAnsi" w:hAnsiTheme="minorHAnsi" w:cstheme="minorHAnsi"/>
                <w:sz w:val="22"/>
                <w:szCs w:val="22"/>
              </w:rPr>
              <w:t>NON_RES</w:t>
            </w:r>
          </w:p>
        </w:tc>
      </w:tr>
    </w:tbl>
    <w:p w:rsidR="00AE073B" w:rsidRDefault="00AE073B" w:rsidP="00AB36DB">
      <w:pPr>
        <w:pStyle w:val="Heading1"/>
        <w:keepNext w:val="0"/>
        <w:rPr>
          <w:rFonts w:cstheme="minorHAnsi"/>
        </w:rPr>
      </w:pPr>
      <w:bookmarkStart w:id="31" w:name="_Toc214003096"/>
    </w:p>
    <w:p w:rsidR="00AE073B" w:rsidRDefault="00AE073B" w:rsidP="00AB36DB">
      <w:pPr>
        <w:pStyle w:val="Heading1"/>
        <w:keepNext w:val="0"/>
        <w:rPr>
          <w:rFonts w:cstheme="minorHAnsi"/>
        </w:rPr>
      </w:pPr>
    </w:p>
    <w:p w:rsidR="00182D20" w:rsidRDefault="00182D20" w:rsidP="00182D20"/>
    <w:p w:rsidR="00182D20" w:rsidRDefault="00182D20" w:rsidP="00182D20"/>
    <w:p w:rsidR="00182D20" w:rsidRDefault="00182D20" w:rsidP="00182D20"/>
    <w:p w:rsidR="00182D20" w:rsidRPr="00182D20" w:rsidRDefault="00182D20" w:rsidP="00182D20"/>
    <w:p w:rsidR="00474507" w:rsidRPr="00474507" w:rsidRDefault="00474507" w:rsidP="00474507"/>
    <w:p w:rsidR="001A5F62" w:rsidRDefault="00E16609" w:rsidP="00AB36DB">
      <w:pPr>
        <w:pStyle w:val="Heading1"/>
        <w:keepNext w:val="0"/>
        <w:rPr>
          <w:rFonts w:cstheme="minorHAnsi"/>
        </w:rPr>
      </w:pPr>
      <w:r w:rsidRPr="00397406">
        <w:rPr>
          <w:rFonts w:cstheme="minorHAnsi"/>
        </w:rPr>
        <w:lastRenderedPageBreak/>
        <w:t>Section 4</w:t>
      </w:r>
      <w:r w:rsidR="001D3223" w:rsidRPr="00397406">
        <w:rPr>
          <w:rFonts w:cstheme="minorHAnsi"/>
        </w:rPr>
        <w:t>:</w:t>
      </w:r>
      <w:r w:rsidRPr="00397406">
        <w:rPr>
          <w:rFonts w:cstheme="minorHAnsi"/>
        </w:rPr>
        <w:t xml:space="preserve"> Base Case &amp; Measure Costs</w:t>
      </w:r>
      <w:bookmarkEnd w:id="31"/>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522"/>
        <w:gridCol w:w="2363"/>
        <w:gridCol w:w="2340"/>
        <w:gridCol w:w="2430"/>
      </w:tblGrid>
      <w:tr w:rsidR="00751A39" w:rsidRPr="003D3FAC" w:rsidTr="003539A2">
        <w:trPr>
          <w:trHeight w:val="255"/>
        </w:trPr>
        <w:tc>
          <w:tcPr>
            <w:tcW w:w="1522"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Install/Program  Type</w:t>
            </w:r>
          </w:p>
        </w:tc>
        <w:tc>
          <w:tcPr>
            <w:tcW w:w="2363" w:type="dxa"/>
            <w:shd w:val="clear" w:color="auto" w:fill="F3F3F3"/>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First Baseline Period</w:t>
            </w:r>
            <w:r w:rsidRPr="003D3FAC">
              <w:rPr>
                <w:rFonts w:cstheme="minorHAnsi"/>
                <w:b/>
                <w:sz w:val="20"/>
                <w:szCs w:val="20"/>
              </w:rPr>
              <w:t>)</w:t>
            </w:r>
          </w:p>
        </w:tc>
        <w:tc>
          <w:tcPr>
            <w:tcW w:w="234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Second Baseline Period</w:t>
            </w:r>
            <w:r w:rsidRPr="003D3FAC">
              <w:rPr>
                <w:rFonts w:cstheme="minorHAnsi"/>
                <w:b/>
                <w:sz w:val="20"/>
                <w:szCs w:val="20"/>
              </w:rPr>
              <w:t>)</w:t>
            </w:r>
          </w:p>
        </w:tc>
        <w:tc>
          <w:tcPr>
            <w:tcW w:w="243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Incremental Measure Cost</w:t>
            </w:r>
          </w:p>
        </w:tc>
      </w:tr>
      <w:tr w:rsidR="00751A39" w:rsidRPr="003D3FAC" w:rsidTr="003539A2">
        <w:trPr>
          <w:trHeight w:val="255"/>
        </w:trPr>
        <w:tc>
          <w:tcPr>
            <w:tcW w:w="1522" w:type="dxa"/>
            <w:shd w:val="clear" w:color="auto" w:fill="auto"/>
            <w:noWrap/>
            <w:vAlign w:val="bottom"/>
          </w:tcPr>
          <w:p w:rsidR="00751A39" w:rsidRPr="003D3FAC" w:rsidRDefault="003539A2" w:rsidP="003D6A97">
            <w:pPr>
              <w:rPr>
                <w:rFonts w:cstheme="minorHAnsi"/>
                <w:sz w:val="20"/>
                <w:szCs w:val="20"/>
              </w:rPr>
            </w:pPr>
            <w:r>
              <w:rPr>
                <w:rFonts w:cstheme="minorHAnsi"/>
                <w:sz w:val="20"/>
                <w:szCs w:val="20"/>
              </w:rPr>
              <w:t>ROB (Replace on Burnout</w:t>
            </w:r>
            <w:r w:rsidR="00E97CFA">
              <w:rPr>
                <w:rFonts w:cstheme="minorHAnsi"/>
                <w:sz w:val="20"/>
                <w:szCs w:val="20"/>
              </w:rPr>
              <w:t xml:space="preserve"> and NC</w:t>
            </w:r>
          </w:p>
        </w:tc>
        <w:tc>
          <w:tcPr>
            <w:tcW w:w="2363" w:type="dxa"/>
            <w:vAlign w:val="bottom"/>
          </w:tcPr>
          <w:p w:rsidR="003539A2" w:rsidRPr="003539A2" w:rsidRDefault="003539A2" w:rsidP="003539A2">
            <w:pPr>
              <w:ind w:firstLine="5"/>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(Base Case Equipment Cost + Base Case Labor Cost)</w:t>
            </w:r>
          </w:p>
        </w:tc>
        <w:tc>
          <w:tcPr>
            <w:tcW w:w="2340" w:type="dxa"/>
            <w:shd w:val="clear" w:color="auto" w:fill="auto"/>
            <w:noWrap/>
            <w:vAlign w:val="bottom"/>
          </w:tcPr>
          <w:p w:rsidR="00751A39" w:rsidRPr="003D3FAC" w:rsidRDefault="00751A39" w:rsidP="003D6A97">
            <w:pPr>
              <w:rPr>
                <w:rFonts w:cstheme="minorHAnsi"/>
                <w:sz w:val="20"/>
                <w:szCs w:val="20"/>
              </w:rPr>
            </w:pPr>
            <w:r>
              <w:rPr>
                <w:rFonts w:cstheme="minorHAnsi"/>
                <w:sz w:val="20"/>
                <w:szCs w:val="20"/>
              </w:rPr>
              <w:t>N/A</w:t>
            </w:r>
          </w:p>
        </w:tc>
        <w:tc>
          <w:tcPr>
            <w:tcW w:w="2430" w:type="dxa"/>
            <w:shd w:val="clear" w:color="auto" w:fill="auto"/>
            <w:noWrap/>
            <w:vAlign w:val="bottom"/>
          </w:tcPr>
          <w:p w:rsidR="003539A2" w:rsidRPr="003539A2" w:rsidRDefault="003539A2" w:rsidP="003539A2">
            <w:pPr>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 xml:space="preserve">    (Base Case Equipment Cost + Base Case Labor Cost)</w:t>
            </w:r>
          </w:p>
        </w:tc>
      </w:tr>
    </w:tbl>
    <w:p w:rsidR="00751A39" w:rsidRPr="003D3FAC" w:rsidRDefault="00751A39" w:rsidP="00751A39">
      <w:pPr>
        <w:rPr>
          <w:rFonts w:cstheme="minorHAnsi"/>
          <w:sz w:val="20"/>
          <w:szCs w:val="20"/>
        </w:rPr>
      </w:pPr>
      <w:r w:rsidRPr="003D3FAC">
        <w:rPr>
          <w:rFonts w:cstheme="minorHAnsi"/>
          <w:sz w:val="20"/>
          <w:szCs w:val="20"/>
        </w:rPr>
        <w:t>*Note: For a more thorough discussion on the install/program type, see the install type document.</w:t>
      </w:r>
    </w:p>
    <w:p w:rsidR="00E16609" w:rsidRPr="00397406" w:rsidRDefault="00E16609" w:rsidP="00824F1C">
      <w:pPr>
        <w:pStyle w:val="Heading2"/>
        <w:rPr>
          <w:rFonts w:asciiTheme="minorHAnsi" w:hAnsiTheme="minorHAnsi" w:cstheme="minorHAnsi"/>
        </w:rPr>
      </w:pPr>
      <w:bookmarkStart w:id="32" w:name="_MON_1399297811"/>
      <w:bookmarkStart w:id="33" w:name="_Toc214003097"/>
      <w:bookmarkEnd w:id="32"/>
      <w:r w:rsidRPr="00397406">
        <w:rPr>
          <w:rFonts w:asciiTheme="minorHAnsi" w:hAnsiTheme="minorHAnsi" w:cstheme="minorHAnsi"/>
        </w:rPr>
        <w:t>4.1 Base Case Cost</w:t>
      </w:r>
      <w:bookmarkEnd w:id="33"/>
    </w:p>
    <w:p w:rsidR="003F1F32" w:rsidRPr="0077159C" w:rsidRDefault="00654101" w:rsidP="003F1F32">
      <w:pPr>
        <w:rPr>
          <w:rFonts w:cs="Arial"/>
          <w:szCs w:val="22"/>
        </w:rPr>
      </w:pPr>
      <w:r>
        <w:t>Residential cost data is assumed to be applicable to the cost of non-residential furnaces because of the similarity in size and type of equipment. The base equipment cost of 81% AFUE central natural gas furnace (weatherized) is not in DEER, an interpolation method was used to determine the base case cost using WO017 cost data for a</w:t>
      </w:r>
      <w:r w:rsidR="00100103">
        <w:t>n</w:t>
      </w:r>
      <w:r>
        <w:t xml:space="preserve"> 81% AFUE furnace.  As a result the base case cost for </w:t>
      </w:r>
      <w:r w:rsidR="00100103">
        <w:t>an</w:t>
      </w:r>
      <w:r>
        <w:t xml:space="preserve"> 81% AFUE furnace is $9.42/</w:t>
      </w:r>
      <w:proofErr w:type="spellStart"/>
      <w:r>
        <w:t>mBtuh</w:t>
      </w:r>
      <w:proofErr w:type="spellEnd"/>
      <w:r>
        <w:t xml:space="preserve">.  The interpolated values are then converted to the rebate unit of $/furnace or $/each using an assumed furnace input rating capacity of 80 </w:t>
      </w:r>
      <w:proofErr w:type="spellStart"/>
      <w:r>
        <w:t>mBtuh</w:t>
      </w:r>
      <w:proofErr w:type="spellEnd"/>
      <w:r>
        <w:t xml:space="preserve">. </w:t>
      </w:r>
    </w:p>
    <w:p w:rsidR="003F1F32" w:rsidRDefault="003F1F32" w:rsidP="003F1F32">
      <w:pPr>
        <w:keepNext/>
      </w:pPr>
    </w:p>
    <w:p w:rsidR="003F1F32" w:rsidRPr="006A5B34" w:rsidRDefault="003F1F32" w:rsidP="003F1F32">
      <w:pPr>
        <w:rPr>
          <w:rFonts w:cs="Arial"/>
          <w:szCs w:val="22"/>
        </w:rPr>
      </w:pPr>
      <w:r w:rsidRPr="006A5B34">
        <w:rPr>
          <w:rFonts w:cs="Arial"/>
          <w:szCs w:val="22"/>
        </w:rPr>
        <w:t>The Base Case Costs are:</w:t>
      </w:r>
    </w:p>
    <w:tbl>
      <w:tblPr>
        <w:tblW w:w="5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tblGrid>
      <w:tr w:rsidR="00B34662" w:rsidRPr="00A01631" w:rsidTr="00B34662">
        <w:tc>
          <w:tcPr>
            <w:tcW w:w="1028" w:type="dxa"/>
          </w:tcPr>
          <w:p w:rsidR="00B34662" w:rsidRPr="008C3F4B" w:rsidRDefault="00B34662" w:rsidP="00126C5D">
            <w:pPr>
              <w:rPr>
                <w:rFonts w:cstheme="minorHAnsi"/>
                <w:b/>
                <w:i/>
                <w:sz w:val="20"/>
                <w:szCs w:val="20"/>
              </w:rPr>
            </w:pPr>
            <w:r w:rsidRPr="008C3F4B">
              <w:rPr>
                <w:rFonts w:cstheme="minorHAnsi"/>
                <w:b/>
                <w:i/>
                <w:sz w:val="20"/>
                <w:szCs w:val="20"/>
              </w:rPr>
              <w:t>Measure Code</w:t>
            </w:r>
          </w:p>
        </w:tc>
        <w:tc>
          <w:tcPr>
            <w:tcW w:w="1420" w:type="dxa"/>
          </w:tcPr>
          <w:p w:rsidR="00B34662" w:rsidRPr="008C3F4B" w:rsidRDefault="00B34662" w:rsidP="00126C5D">
            <w:pPr>
              <w:rPr>
                <w:rFonts w:cstheme="minorHAnsi"/>
                <w:b/>
                <w:sz w:val="20"/>
                <w:szCs w:val="20"/>
              </w:rPr>
            </w:pPr>
            <w:r w:rsidRPr="008C3F4B">
              <w:rPr>
                <w:rFonts w:cstheme="minorHAnsi"/>
                <w:b/>
                <w:sz w:val="20"/>
                <w:szCs w:val="20"/>
              </w:rPr>
              <w:t>Measure Application Type</w:t>
            </w:r>
          </w:p>
        </w:tc>
        <w:tc>
          <w:tcPr>
            <w:tcW w:w="1620" w:type="dxa"/>
          </w:tcPr>
          <w:p w:rsidR="00B34662" w:rsidRPr="008C3F4B" w:rsidRDefault="00B34662" w:rsidP="00126C5D">
            <w:pPr>
              <w:rPr>
                <w:rFonts w:cstheme="minorHAnsi"/>
                <w:b/>
                <w:sz w:val="20"/>
                <w:szCs w:val="20"/>
              </w:rPr>
            </w:pPr>
            <w:r w:rsidRPr="008C3F4B">
              <w:rPr>
                <w:rFonts w:cstheme="minorHAnsi"/>
                <w:b/>
                <w:sz w:val="20"/>
                <w:szCs w:val="20"/>
              </w:rPr>
              <w:t>Baseline</w:t>
            </w:r>
          </w:p>
        </w:tc>
        <w:tc>
          <w:tcPr>
            <w:tcW w:w="1440" w:type="dxa"/>
          </w:tcPr>
          <w:p w:rsidR="00B34662" w:rsidRPr="008C3F4B" w:rsidRDefault="00B34662" w:rsidP="00126C5D">
            <w:pPr>
              <w:rPr>
                <w:rFonts w:cstheme="minorHAnsi"/>
                <w:b/>
                <w:sz w:val="20"/>
                <w:szCs w:val="20"/>
              </w:rPr>
            </w:pPr>
            <w:r w:rsidRPr="008C3F4B">
              <w:rPr>
                <w:rFonts w:cstheme="minorHAnsi"/>
                <w:b/>
                <w:sz w:val="20"/>
                <w:szCs w:val="20"/>
              </w:rPr>
              <w:t>Average Equipment Cost</w:t>
            </w:r>
          </w:p>
        </w:tc>
      </w:tr>
      <w:tr w:rsidR="00B34662" w:rsidRPr="00A01631" w:rsidTr="00B34662">
        <w:tc>
          <w:tcPr>
            <w:tcW w:w="1028" w:type="dxa"/>
          </w:tcPr>
          <w:p w:rsidR="00B34662" w:rsidRPr="008C3F4B" w:rsidRDefault="00B34662" w:rsidP="005A282B">
            <w:pPr>
              <w:rPr>
                <w:rFonts w:cstheme="minorHAnsi"/>
                <w:sz w:val="20"/>
                <w:szCs w:val="20"/>
              </w:rPr>
            </w:pPr>
            <w:r w:rsidRPr="008C3F4B">
              <w:rPr>
                <w:rFonts w:cstheme="minorHAnsi"/>
                <w:sz w:val="20"/>
                <w:szCs w:val="20"/>
              </w:rPr>
              <w:t>SA1</w:t>
            </w:r>
            <w:r>
              <w:rPr>
                <w:rFonts w:cstheme="minorHAnsi"/>
                <w:sz w:val="20"/>
                <w:szCs w:val="20"/>
              </w:rPr>
              <w:t>6, SA17</w:t>
            </w:r>
          </w:p>
        </w:tc>
        <w:tc>
          <w:tcPr>
            <w:tcW w:w="1420" w:type="dxa"/>
          </w:tcPr>
          <w:p w:rsidR="00B34662" w:rsidRPr="008C3F4B" w:rsidRDefault="00B34662" w:rsidP="00126C5D">
            <w:pPr>
              <w:rPr>
                <w:rFonts w:cstheme="minorHAnsi"/>
                <w:sz w:val="20"/>
                <w:szCs w:val="20"/>
              </w:rPr>
            </w:pPr>
            <w:r w:rsidRPr="008C3F4B">
              <w:rPr>
                <w:rFonts w:cstheme="minorHAnsi"/>
                <w:sz w:val="20"/>
                <w:szCs w:val="20"/>
              </w:rPr>
              <w:t>ROB</w:t>
            </w:r>
            <w:r w:rsidR="00E97CFA">
              <w:rPr>
                <w:rFonts w:cstheme="minorHAnsi"/>
                <w:sz w:val="20"/>
                <w:szCs w:val="20"/>
              </w:rPr>
              <w:t>, NC</w:t>
            </w:r>
          </w:p>
        </w:tc>
        <w:tc>
          <w:tcPr>
            <w:tcW w:w="1620" w:type="dxa"/>
          </w:tcPr>
          <w:p w:rsidR="00B34662" w:rsidRPr="008C3F4B" w:rsidRDefault="00B34662" w:rsidP="00126C5D">
            <w:pPr>
              <w:rPr>
                <w:rFonts w:cstheme="minorHAnsi"/>
                <w:sz w:val="20"/>
                <w:szCs w:val="20"/>
              </w:rPr>
            </w:pPr>
            <w:r>
              <w:rPr>
                <w:rFonts w:cstheme="minorHAnsi"/>
                <w:sz w:val="20"/>
                <w:szCs w:val="20"/>
              </w:rPr>
              <w:t>Federal</w:t>
            </w:r>
            <w:r w:rsidRPr="008C3F4B">
              <w:rPr>
                <w:rFonts w:cstheme="minorHAnsi"/>
                <w:sz w:val="20"/>
                <w:szCs w:val="20"/>
              </w:rPr>
              <w:t xml:space="preserve"> code </w:t>
            </w:r>
          </w:p>
        </w:tc>
        <w:tc>
          <w:tcPr>
            <w:tcW w:w="1440" w:type="dxa"/>
          </w:tcPr>
          <w:p w:rsidR="00B34662" w:rsidRPr="008C3F4B" w:rsidRDefault="00B34662" w:rsidP="005A282B">
            <w:pPr>
              <w:rPr>
                <w:rFonts w:cstheme="minorHAnsi"/>
                <w:sz w:val="20"/>
                <w:szCs w:val="20"/>
              </w:rPr>
            </w:pPr>
            <w:r w:rsidRPr="008C3F4B">
              <w:rPr>
                <w:rFonts w:cstheme="minorHAnsi"/>
                <w:sz w:val="20"/>
                <w:szCs w:val="20"/>
              </w:rPr>
              <w:t>$7</w:t>
            </w:r>
            <w:r>
              <w:rPr>
                <w:rFonts w:cstheme="minorHAnsi"/>
                <w:sz w:val="20"/>
                <w:szCs w:val="20"/>
              </w:rPr>
              <w:t>53.37</w:t>
            </w:r>
          </w:p>
        </w:tc>
      </w:tr>
    </w:tbl>
    <w:p w:rsidR="003F1F32" w:rsidRPr="00DD1C47" w:rsidRDefault="003F1F32" w:rsidP="003F1F32">
      <w:pPr>
        <w:rPr>
          <w:rFonts w:cs="Arial"/>
          <w:i/>
          <w:sz w:val="20"/>
          <w:szCs w:val="20"/>
        </w:rPr>
      </w:pPr>
      <w:r w:rsidRPr="00DD1C47">
        <w:rPr>
          <w:rFonts w:cs="Arial"/>
          <w:i/>
          <w:sz w:val="20"/>
          <w:szCs w:val="20"/>
        </w:rPr>
        <w:t>All costs are noted as $ per measure unit</w:t>
      </w:r>
    </w:p>
    <w:p w:rsidR="005A0E53" w:rsidRPr="00397406" w:rsidRDefault="005A0E53" w:rsidP="005A0E53">
      <w:pPr>
        <w:pStyle w:val="Heading2"/>
        <w:rPr>
          <w:rFonts w:asciiTheme="minorHAnsi" w:hAnsiTheme="minorHAnsi" w:cstheme="minorHAnsi"/>
        </w:rPr>
      </w:pPr>
      <w:bookmarkStart w:id="34" w:name="_Toc214003098"/>
      <w:r w:rsidRPr="00397406">
        <w:rPr>
          <w:rFonts w:asciiTheme="minorHAnsi" w:hAnsiTheme="minorHAnsi" w:cstheme="minorHAnsi"/>
        </w:rPr>
        <w:t>4.2 Measure Case Cost</w:t>
      </w:r>
    </w:p>
    <w:p w:rsidR="00BE209D" w:rsidRDefault="00B16551" w:rsidP="005A282B">
      <w:pPr>
        <w:rPr>
          <w:rFonts w:cs="Arial"/>
          <w:szCs w:val="22"/>
        </w:rPr>
      </w:pPr>
      <w:r>
        <w:t>Residential cost data is assumed to be applicable to the cost of non-residential furnaces because of the similarity in size and type of equipment. The measure equipment cost of 95% AFUE central natural gas furnace (weatherized) is not in DEER, an interpolation method was used to determine the base case co</w:t>
      </w:r>
      <w:r w:rsidR="003E6A37">
        <w:t xml:space="preserve">st using WO017 cost data for a 81%, 90%, 91%, </w:t>
      </w:r>
      <w:r>
        <w:t>and 96% AFUE furnace.  As a result the base case co</w:t>
      </w:r>
      <w:r w:rsidR="001574F4">
        <w:t>st for a 95% AFUE furnace is $14.17</w:t>
      </w:r>
      <w:r>
        <w:t>/</w:t>
      </w:r>
      <w:proofErr w:type="spellStart"/>
      <w:r>
        <w:t>mBtuh</w:t>
      </w:r>
      <w:proofErr w:type="spellEnd"/>
      <w:r>
        <w:t xml:space="preserve">.  The interpolated values are then converted to the rebate unit of $/furnace or $/each using an assumed furnace input rating capacity of 80 </w:t>
      </w:r>
      <w:proofErr w:type="spellStart"/>
      <w:r>
        <w:t>mBtuh</w:t>
      </w:r>
      <w:proofErr w:type="spellEnd"/>
      <w:r>
        <w:t xml:space="preserve">. </w:t>
      </w:r>
    </w:p>
    <w:p w:rsidR="005A282B" w:rsidRDefault="005A282B" w:rsidP="005A282B">
      <w:pPr>
        <w:rPr>
          <w:rFonts w:cs="Arial"/>
          <w:szCs w:val="22"/>
        </w:rPr>
      </w:pPr>
    </w:p>
    <w:p w:rsidR="005A282B" w:rsidRPr="006A5B34" w:rsidRDefault="005A282B" w:rsidP="005A282B">
      <w:pPr>
        <w:rPr>
          <w:rFonts w:cs="Arial"/>
          <w:szCs w:val="22"/>
        </w:rPr>
      </w:pPr>
    </w:p>
    <w:p w:rsidR="005A282B" w:rsidRPr="006A5B34" w:rsidRDefault="005A282B" w:rsidP="005A282B">
      <w:pPr>
        <w:rPr>
          <w:rFonts w:cs="Arial"/>
          <w:szCs w:val="22"/>
        </w:rPr>
      </w:pPr>
      <w:r w:rsidRPr="006A5B34">
        <w:rPr>
          <w:rFonts w:cs="Arial"/>
          <w:szCs w:val="22"/>
        </w:rPr>
        <w:t>The Measure Case Costs are:</w:t>
      </w:r>
    </w:p>
    <w:p w:rsidR="005A282B" w:rsidRDefault="005A282B" w:rsidP="005A282B">
      <w:pPr>
        <w:rPr>
          <w:i/>
        </w:rPr>
      </w:pPr>
    </w:p>
    <w:tbl>
      <w:tblPr>
        <w:tblW w:w="5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tblGrid>
      <w:tr w:rsidR="00003667" w:rsidRPr="00A01631" w:rsidTr="00003667">
        <w:tc>
          <w:tcPr>
            <w:tcW w:w="1028" w:type="dxa"/>
          </w:tcPr>
          <w:p w:rsidR="00003667" w:rsidRPr="008C3F4B" w:rsidRDefault="00003667" w:rsidP="00126C5D">
            <w:pPr>
              <w:rPr>
                <w:rFonts w:cstheme="minorHAnsi"/>
                <w:b/>
                <w:i/>
                <w:sz w:val="20"/>
                <w:szCs w:val="20"/>
              </w:rPr>
            </w:pPr>
            <w:r w:rsidRPr="008C3F4B">
              <w:rPr>
                <w:rFonts w:cstheme="minorHAnsi"/>
                <w:b/>
                <w:i/>
                <w:sz w:val="20"/>
                <w:szCs w:val="20"/>
              </w:rPr>
              <w:t>Measure Code</w:t>
            </w:r>
          </w:p>
        </w:tc>
        <w:tc>
          <w:tcPr>
            <w:tcW w:w="1420" w:type="dxa"/>
          </w:tcPr>
          <w:p w:rsidR="00003667" w:rsidRPr="008C3F4B" w:rsidRDefault="00003667" w:rsidP="00126C5D">
            <w:pPr>
              <w:rPr>
                <w:rFonts w:cstheme="minorHAnsi"/>
                <w:b/>
                <w:sz w:val="20"/>
                <w:szCs w:val="20"/>
              </w:rPr>
            </w:pPr>
            <w:r w:rsidRPr="008C3F4B">
              <w:rPr>
                <w:rFonts w:cstheme="minorHAnsi"/>
                <w:b/>
                <w:sz w:val="20"/>
                <w:szCs w:val="20"/>
              </w:rPr>
              <w:t>Measure Application Type</w:t>
            </w:r>
          </w:p>
        </w:tc>
        <w:tc>
          <w:tcPr>
            <w:tcW w:w="1620" w:type="dxa"/>
          </w:tcPr>
          <w:p w:rsidR="00003667" w:rsidRPr="008C3F4B" w:rsidRDefault="00003667" w:rsidP="00126C5D">
            <w:pPr>
              <w:rPr>
                <w:rFonts w:cstheme="minorHAnsi"/>
                <w:b/>
                <w:sz w:val="20"/>
                <w:szCs w:val="20"/>
              </w:rPr>
            </w:pPr>
            <w:r w:rsidRPr="008C3F4B">
              <w:rPr>
                <w:rFonts w:cstheme="minorHAnsi"/>
                <w:b/>
                <w:sz w:val="20"/>
                <w:szCs w:val="20"/>
              </w:rPr>
              <w:t>Baseline</w:t>
            </w:r>
          </w:p>
        </w:tc>
        <w:tc>
          <w:tcPr>
            <w:tcW w:w="1440" w:type="dxa"/>
          </w:tcPr>
          <w:p w:rsidR="00003667" w:rsidRPr="008C3F4B" w:rsidRDefault="00003667" w:rsidP="00126C5D">
            <w:pPr>
              <w:rPr>
                <w:rFonts w:cstheme="minorHAnsi"/>
                <w:b/>
                <w:sz w:val="20"/>
                <w:szCs w:val="20"/>
              </w:rPr>
            </w:pPr>
            <w:r w:rsidRPr="008C3F4B">
              <w:rPr>
                <w:rFonts w:cstheme="minorHAnsi"/>
                <w:b/>
                <w:sz w:val="20"/>
                <w:szCs w:val="20"/>
              </w:rPr>
              <w:t>Average Equipment Cost</w:t>
            </w:r>
          </w:p>
        </w:tc>
      </w:tr>
      <w:tr w:rsidR="00003667" w:rsidRPr="00A01631" w:rsidTr="00003667">
        <w:tc>
          <w:tcPr>
            <w:tcW w:w="1028" w:type="dxa"/>
          </w:tcPr>
          <w:p w:rsidR="00003667" w:rsidRPr="008C3F4B" w:rsidRDefault="00003667" w:rsidP="00126C5D">
            <w:pPr>
              <w:rPr>
                <w:rFonts w:cstheme="minorHAnsi"/>
                <w:sz w:val="20"/>
                <w:szCs w:val="20"/>
              </w:rPr>
            </w:pPr>
            <w:r w:rsidRPr="008C3F4B">
              <w:rPr>
                <w:rFonts w:cstheme="minorHAnsi"/>
                <w:sz w:val="20"/>
                <w:szCs w:val="20"/>
              </w:rPr>
              <w:t>SA17</w:t>
            </w:r>
          </w:p>
        </w:tc>
        <w:tc>
          <w:tcPr>
            <w:tcW w:w="1420" w:type="dxa"/>
          </w:tcPr>
          <w:p w:rsidR="00003667" w:rsidRPr="008C3F4B" w:rsidRDefault="00003667" w:rsidP="00126C5D">
            <w:pPr>
              <w:rPr>
                <w:rFonts w:cstheme="minorHAnsi"/>
                <w:sz w:val="20"/>
                <w:szCs w:val="20"/>
              </w:rPr>
            </w:pPr>
            <w:r w:rsidRPr="008C3F4B">
              <w:rPr>
                <w:rFonts w:cstheme="minorHAnsi"/>
                <w:sz w:val="20"/>
                <w:szCs w:val="20"/>
              </w:rPr>
              <w:t>ROB</w:t>
            </w:r>
            <w:r w:rsidR="00E97CFA">
              <w:rPr>
                <w:rFonts w:cstheme="minorHAnsi"/>
                <w:sz w:val="20"/>
                <w:szCs w:val="20"/>
              </w:rPr>
              <w:t>, NC</w:t>
            </w:r>
          </w:p>
        </w:tc>
        <w:tc>
          <w:tcPr>
            <w:tcW w:w="1620" w:type="dxa"/>
          </w:tcPr>
          <w:p w:rsidR="00003667" w:rsidRPr="008C3F4B" w:rsidRDefault="00003667" w:rsidP="00126C5D">
            <w:pPr>
              <w:rPr>
                <w:rFonts w:cstheme="minorHAnsi"/>
                <w:sz w:val="20"/>
                <w:szCs w:val="20"/>
              </w:rPr>
            </w:pPr>
            <w:r w:rsidRPr="008C3F4B">
              <w:rPr>
                <w:rFonts w:cstheme="minorHAnsi"/>
                <w:sz w:val="20"/>
                <w:szCs w:val="20"/>
              </w:rPr>
              <w:t xml:space="preserve">Existing code </w:t>
            </w:r>
          </w:p>
        </w:tc>
        <w:tc>
          <w:tcPr>
            <w:tcW w:w="1440" w:type="dxa"/>
          </w:tcPr>
          <w:p w:rsidR="00003667" w:rsidRPr="008C3F4B" w:rsidRDefault="00003667" w:rsidP="00126C5D">
            <w:pPr>
              <w:rPr>
                <w:rFonts w:cstheme="minorHAnsi"/>
                <w:sz w:val="20"/>
                <w:szCs w:val="20"/>
              </w:rPr>
            </w:pPr>
            <w:r w:rsidRPr="008C3F4B">
              <w:rPr>
                <w:rFonts w:cstheme="minorHAnsi"/>
                <w:sz w:val="20"/>
                <w:szCs w:val="20"/>
              </w:rPr>
              <w:t>$1,</w:t>
            </w:r>
            <w:r>
              <w:rPr>
                <w:rFonts w:cstheme="minorHAnsi"/>
                <w:sz w:val="20"/>
                <w:szCs w:val="20"/>
              </w:rPr>
              <w:t>133.30</w:t>
            </w:r>
          </w:p>
        </w:tc>
      </w:tr>
      <w:tr w:rsidR="00003667" w:rsidRPr="00A01631" w:rsidTr="00003667">
        <w:tc>
          <w:tcPr>
            <w:tcW w:w="1028" w:type="dxa"/>
          </w:tcPr>
          <w:p w:rsidR="00003667" w:rsidRPr="008C3F4B" w:rsidRDefault="00003667" w:rsidP="00126C5D">
            <w:pPr>
              <w:rPr>
                <w:rFonts w:cstheme="minorHAnsi"/>
                <w:sz w:val="20"/>
                <w:szCs w:val="20"/>
              </w:rPr>
            </w:pPr>
            <w:r w:rsidRPr="008C3F4B">
              <w:rPr>
                <w:rFonts w:cstheme="minorHAnsi"/>
                <w:sz w:val="20"/>
                <w:szCs w:val="20"/>
              </w:rPr>
              <w:t>SA16</w:t>
            </w:r>
          </w:p>
        </w:tc>
        <w:tc>
          <w:tcPr>
            <w:tcW w:w="1420" w:type="dxa"/>
          </w:tcPr>
          <w:p w:rsidR="00003667" w:rsidRPr="008C3F4B" w:rsidRDefault="00003667" w:rsidP="00126C5D">
            <w:pPr>
              <w:rPr>
                <w:rFonts w:cstheme="minorHAnsi"/>
                <w:sz w:val="20"/>
                <w:szCs w:val="20"/>
              </w:rPr>
            </w:pPr>
            <w:r w:rsidRPr="008C3F4B">
              <w:rPr>
                <w:rFonts w:cstheme="minorHAnsi"/>
                <w:sz w:val="20"/>
                <w:szCs w:val="20"/>
              </w:rPr>
              <w:t>ROB</w:t>
            </w:r>
            <w:r w:rsidR="00E97CFA">
              <w:rPr>
                <w:rFonts w:cstheme="minorHAnsi"/>
                <w:sz w:val="20"/>
                <w:szCs w:val="20"/>
              </w:rPr>
              <w:t>, NC</w:t>
            </w:r>
          </w:p>
        </w:tc>
        <w:tc>
          <w:tcPr>
            <w:tcW w:w="1620" w:type="dxa"/>
          </w:tcPr>
          <w:p w:rsidR="00003667" w:rsidRPr="008C3F4B" w:rsidRDefault="00003667" w:rsidP="00126C5D">
            <w:pPr>
              <w:rPr>
                <w:rFonts w:cstheme="minorHAnsi"/>
                <w:sz w:val="20"/>
                <w:szCs w:val="20"/>
              </w:rPr>
            </w:pPr>
            <w:r w:rsidRPr="008C3F4B">
              <w:rPr>
                <w:rFonts w:cstheme="minorHAnsi"/>
                <w:sz w:val="20"/>
                <w:szCs w:val="20"/>
              </w:rPr>
              <w:t xml:space="preserve">Existing code </w:t>
            </w:r>
          </w:p>
        </w:tc>
        <w:tc>
          <w:tcPr>
            <w:tcW w:w="1440" w:type="dxa"/>
          </w:tcPr>
          <w:p w:rsidR="00003667" w:rsidRPr="008C3F4B" w:rsidRDefault="00003667" w:rsidP="00126C5D">
            <w:pPr>
              <w:rPr>
                <w:rFonts w:cstheme="minorHAnsi"/>
                <w:sz w:val="20"/>
                <w:szCs w:val="20"/>
              </w:rPr>
            </w:pPr>
            <w:r>
              <w:rPr>
                <w:rFonts w:cstheme="minorHAnsi"/>
                <w:sz w:val="20"/>
                <w:szCs w:val="20"/>
              </w:rPr>
              <w:t>$1,253.32</w:t>
            </w:r>
          </w:p>
        </w:tc>
      </w:tr>
    </w:tbl>
    <w:p w:rsidR="005A282B" w:rsidRDefault="005A282B" w:rsidP="005A282B">
      <w:pPr>
        <w:rPr>
          <w:rFonts w:cs="Arial"/>
          <w:i/>
          <w:sz w:val="20"/>
          <w:szCs w:val="20"/>
        </w:rPr>
      </w:pPr>
      <w:r w:rsidRPr="00DD1C47">
        <w:rPr>
          <w:rFonts w:cs="Arial"/>
          <w:i/>
          <w:sz w:val="20"/>
          <w:szCs w:val="20"/>
        </w:rPr>
        <w:t>All costs</w:t>
      </w:r>
      <w:r>
        <w:rPr>
          <w:rFonts w:cs="Arial"/>
          <w:i/>
          <w:sz w:val="20"/>
          <w:szCs w:val="20"/>
        </w:rPr>
        <w:t xml:space="preserve"> are noted as $ per measure unit</w:t>
      </w:r>
    </w:p>
    <w:p w:rsidR="00D215D3" w:rsidRDefault="00D215D3" w:rsidP="005A282B">
      <w:pPr>
        <w:rPr>
          <w:rFonts w:cs="Arial"/>
          <w:i/>
          <w:sz w:val="20"/>
          <w:szCs w:val="20"/>
        </w:rPr>
      </w:pPr>
    </w:p>
    <w:p w:rsidR="00D215D3" w:rsidRDefault="00D215D3" w:rsidP="005A282B">
      <w:pPr>
        <w:rPr>
          <w:rFonts w:cs="Arial"/>
          <w:i/>
          <w:sz w:val="20"/>
          <w:szCs w:val="20"/>
        </w:rPr>
      </w:pPr>
    </w:p>
    <w:p w:rsidR="00D215D3" w:rsidRPr="00DD1C47" w:rsidRDefault="00D215D3" w:rsidP="005A282B">
      <w:pPr>
        <w:rPr>
          <w:rFonts w:cs="Arial"/>
          <w:i/>
          <w:sz w:val="20"/>
          <w:szCs w:val="20"/>
        </w:rPr>
      </w:pPr>
    </w:p>
    <w:p w:rsidR="007E2F2A" w:rsidRPr="00D215D3" w:rsidRDefault="005A0E53" w:rsidP="00D215D3">
      <w:pPr>
        <w:pStyle w:val="Heading2"/>
        <w:keepNext w:val="0"/>
        <w:rPr>
          <w:rFonts w:asciiTheme="minorHAnsi" w:hAnsiTheme="minorHAnsi" w:cstheme="minorHAnsi"/>
        </w:rPr>
      </w:pPr>
      <w:r w:rsidRPr="00397406">
        <w:rPr>
          <w:rFonts w:asciiTheme="minorHAnsi" w:hAnsiTheme="minorHAnsi" w:cstheme="minorHAnsi"/>
        </w:rPr>
        <w:lastRenderedPageBreak/>
        <w:t>4.3</w:t>
      </w:r>
      <w:r w:rsidR="00E16609" w:rsidRPr="00397406">
        <w:rPr>
          <w:rFonts w:asciiTheme="minorHAnsi" w:hAnsiTheme="minorHAnsi" w:cstheme="minorHAnsi"/>
        </w:rPr>
        <w:t xml:space="preserve"> Gross</w:t>
      </w:r>
      <w:r w:rsidRPr="00397406">
        <w:rPr>
          <w:rFonts w:asciiTheme="minorHAnsi" w:hAnsiTheme="minorHAnsi" w:cstheme="minorHAnsi"/>
        </w:rPr>
        <w:t xml:space="preserve"> and Incremental</w:t>
      </w:r>
      <w:r w:rsidR="00E16609" w:rsidRPr="00397406">
        <w:rPr>
          <w:rFonts w:asciiTheme="minorHAnsi" w:hAnsiTheme="minorHAnsi" w:cstheme="minorHAnsi"/>
        </w:rPr>
        <w:t xml:space="preserve"> Measure Cost</w:t>
      </w:r>
      <w:bookmarkStart w:id="35" w:name="_Toc214003099"/>
      <w:bookmarkEnd w:id="34"/>
    </w:p>
    <w:p w:rsidR="005A0E53" w:rsidRPr="00397406" w:rsidRDefault="00D215D3" w:rsidP="005A0E53">
      <w:pPr>
        <w:pStyle w:val="Heading3"/>
        <w:rPr>
          <w:rFonts w:asciiTheme="minorHAnsi" w:hAnsiTheme="minorHAnsi"/>
        </w:rPr>
      </w:pPr>
      <w:r>
        <w:rPr>
          <w:rFonts w:asciiTheme="minorHAnsi" w:hAnsiTheme="minorHAnsi"/>
        </w:rPr>
        <w:t>4.3.1</w:t>
      </w:r>
      <w:r w:rsidR="005A0E53" w:rsidRPr="00397406">
        <w:rPr>
          <w:rFonts w:asciiTheme="minorHAnsi" w:hAnsiTheme="minorHAnsi"/>
        </w:rPr>
        <w:t xml:space="preserve"> Incremental Measure Cost</w:t>
      </w:r>
      <w:r w:rsidR="00AB36DB" w:rsidRPr="00397406">
        <w:rPr>
          <w:rFonts w:asciiTheme="minorHAnsi" w:hAnsiTheme="minorHAnsi"/>
        </w:rPr>
        <w:t xml:space="preserve"> (IMC)</w:t>
      </w:r>
    </w:p>
    <w:p w:rsidR="001C0F36" w:rsidRPr="001C0F36" w:rsidRDefault="001C0F36" w:rsidP="001C0F36">
      <w:pPr>
        <w:rPr>
          <w:rFonts w:cstheme="minorHAnsi"/>
          <w:szCs w:val="22"/>
        </w:rPr>
      </w:pPr>
      <w:r w:rsidRPr="001C0F36">
        <w:rPr>
          <w:rFonts w:cstheme="minorHAnsi"/>
          <w:szCs w:val="22"/>
        </w:rPr>
        <w:t>Incremental Measure Cost is the premium cost to install an energy efficient measure over a standard efficiency measure or code baseline measure.   While IMC has a straight forward definition, depending on the install type the equation does vary.  The incremental cost is only used to help determine program incentives. It is not affected by the first and second baseline periods and may differ from the cost used for cost effectiveness calculations.</w:t>
      </w:r>
    </w:p>
    <w:p w:rsidR="001C0F36" w:rsidRPr="001C0F36" w:rsidRDefault="001C0F36" w:rsidP="001C0F36">
      <w:pPr>
        <w:rPr>
          <w:rFonts w:cstheme="minorHAnsi"/>
          <w:szCs w:val="22"/>
        </w:rPr>
      </w:pPr>
    </w:p>
    <w:p w:rsidR="007E2F2A" w:rsidRPr="0037121C" w:rsidRDefault="007E2F2A" w:rsidP="007E2F2A">
      <w:pPr>
        <w:rPr>
          <w:rFonts w:cstheme="minorHAnsi"/>
          <w:szCs w:val="22"/>
        </w:rPr>
      </w:pPr>
      <w:r>
        <w:rPr>
          <w:rFonts w:cstheme="minorHAnsi"/>
          <w:szCs w:val="22"/>
        </w:rPr>
        <w:t xml:space="preserve">For </w:t>
      </w:r>
      <w:r w:rsidRPr="0037121C">
        <w:rPr>
          <w:rFonts w:cstheme="minorHAnsi"/>
          <w:szCs w:val="22"/>
        </w:rPr>
        <w:t>ROB</w:t>
      </w:r>
      <w:r w:rsidR="00E97CFA">
        <w:rPr>
          <w:rFonts w:cstheme="minorHAnsi"/>
          <w:szCs w:val="22"/>
        </w:rPr>
        <w:t xml:space="preserve"> and NC</w:t>
      </w:r>
      <w:r w:rsidRPr="0037121C">
        <w:rPr>
          <w:rFonts w:cstheme="minorHAnsi"/>
          <w:szCs w:val="22"/>
        </w:rPr>
        <w:t xml:space="preserve"> </w:t>
      </w:r>
      <w:r>
        <w:rPr>
          <w:rFonts w:cstheme="minorHAnsi"/>
          <w:szCs w:val="22"/>
        </w:rPr>
        <w:t xml:space="preserve">measures, </w:t>
      </w:r>
      <w:r w:rsidRPr="0037121C">
        <w:rPr>
          <w:rFonts w:cstheme="minorHAnsi"/>
          <w:szCs w:val="22"/>
        </w:rPr>
        <w:t>there exists a theoretical base case that the measure can be com</w:t>
      </w:r>
      <w:r>
        <w:rPr>
          <w:rFonts w:cstheme="minorHAnsi"/>
          <w:szCs w:val="22"/>
        </w:rPr>
        <w:t xml:space="preserve">pared to in cost.  Because a base case exists </w:t>
      </w:r>
      <w:r w:rsidRPr="0037121C">
        <w:rPr>
          <w:rFonts w:cstheme="minorHAnsi"/>
          <w:szCs w:val="22"/>
        </w:rPr>
        <w:t xml:space="preserve">for </w:t>
      </w:r>
      <w:r w:rsidR="00E97CFA" w:rsidRPr="00555410">
        <w:rPr>
          <w:rFonts w:cstheme="minorHAnsi"/>
          <w:b/>
          <w:szCs w:val="22"/>
        </w:rPr>
        <w:t>NC, and ROB</w:t>
      </w:r>
      <w:r w:rsidRPr="0037121C">
        <w:rPr>
          <w:rFonts w:cstheme="minorHAnsi"/>
          <w:szCs w:val="22"/>
        </w:rPr>
        <w:t xml:space="preserve"> </w:t>
      </w:r>
      <w:smartTag w:uri="urn:schemas-microsoft-com:office:smarttags" w:element="stockticker">
        <w:r w:rsidRPr="0037121C">
          <w:rPr>
            <w:rFonts w:cstheme="minorHAnsi"/>
            <w:szCs w:val="22"/>
          </w:rPr>
          <w:t>IMC</w:t>
        </w:r>
      </w:smartTag>
      <w:r w:rsidRPr="0037121C">
        <w:rPr>
          <w:rFonts w:cstheme="minorHAnsi"/>
          <w:szCs w:val="22"/>
        </w:rPr>
        <w:t xml:space="preserve"> is represented by the equation below:</w:t>
      </w:r>
    </w:p>
    <w:p w:rsidR="007E2F2A" w:rsidRPr="0037121C" w:rsidRDefault="007E2F2A" w:rsidP="007E2F2A">
      <w:pPr>
        <w:rPr>
          <w:rFonts w:cstheme="minorHAnsi"/>
          <w:szCs w:val="22"/>
        </w:rPr>
      </w:pPr>
    </w:p>
    <w:p w:rsidR="007E2F2A" w:rsidRPr="0037121C" w:rsidRDefault="007E2F2A" w:rsidP="007E2F2A">
      <w:pPr>
        <w:ind w:firstLine="720"/>
        <w:jc w:val="center"/>
        <w:rPr>
          <w:rFonts w:cstheme="minorHAnsi"/>
          <w:szCs w:val="22"/>
        </w:rPr>
      </w:pPr>
      <w:smartTag w:uri="urn:schemas-microsoft-com:office:smarttags" w:element="stockticker">
        <w:r w:rsidRPr="0037121C">
          <w:rPr>
            <w:rFonts w:cstheme="minorHAnsi"/>
            <w:szCs w:val="22"/>
          </w:rPr>
          <w:t>IMC</w:t>
        </w:r>
      </w:smartTag>
      <w:r w:rsidRPr="0037121C">
        <w:rPr>
          <w:rFonts w:cstheme="minorHAnsi"/>
          <w:szCs w:val="22"/>
        </w:rPr>
        <w:t xml:space="preserve"> </w:t>
      </w:r>
      <w:r w:rsidRPr="0037121C">
        <w:rPr>
          <w:rFonts w:cstheme="minorHAnsi"/>
          <w:szCs w:val="22"/>
        </w:rPr>
        <w:tab/>
        <w:t>= (Measure Equipment Cost + Measure Labor Cost) –</w:t>
      </w:r>
    </w:p>
    <w:p w:rsidR="007E2F2A" w:rsidRPr="0037121C" w:rsidRDefault="007E2F2A" w:rsidP="007E2F2A">
      <w:pPr>
        <w:ind w:left="720" w:firstLine="720"/>
        <w:jc w:val="center"/>
        <w:rPr>
          <w:rFonts w:cstheme="minorHAnsi"/>
          <w:szCs w:val="22"/>
        </w:rPr>
      </w:pPr>
      <w:r w:rsidRPr="0037121C">
        <w:rPr>
          <w:rFonts w:cstheme="minorHAnsi"/>
          <w:szCs w:val="22"/>
        </w:rPr>
        <w:t>(Base Case Equipment Cost + Base Case Labor Cost)</w:t>
      </w:r>
    </w:p>
    <w:p w:rsidR="007E2F2A" w:rsidRPr="0037121C" w:rsidRDefault="007E2F2A" w:rsidP="007E2F2A">
      <w:pPr>
        <w:rPr>
          <w:rFonts w:cstheme="minorHAnsi"/>
          <w:b/>
          <w:szCs w:val="22"/>
        </w:rPr>
      </w:pPr>
    </w:p>
    <w:p w:rsidR="007E2F2A" w:rsidRPr="0037121C" w:rsidRDefault="007E2F2A" w:rsidP="007E2F2A">
      <w:pPr>
        <w:ind w:right="720"/>
        <w:rPr>
          <w:rFonts w:cstheme="minorHAnsi"/>
          <w:szCs w:val="22"/>
        </w:rPr>
      </w:pPr>
      <w:r w:rsidRPr="0037121C">
        <w:rPr>
          <w:rFonts w:cstheme="minorHAnsi"/>
          <w:szCs w:val="22"/>
        </w:rPr>
        <w:t>*Note: Unless stated otherwise the measure case labor and base case labor are assumed to be the same value reducing the equation to the following:</w:t>
      </w:r>
    </w:p>
    <w:p w:rsidR="007E2F2A" w:rsidRPr="0037121C" w:rsidRDefault="007E2F2A" w:rsidP="007E2F2A">
      <w:pPr>
        <w:ind w:left="720" w:right="720"/>
        <w:jc w:val="center"/>
        <w:rPr>
          <w:rFonts w:cstheme="minorHAnsi"/>
          <w:szCs w:val="22"/>
        </w:rPr>
      </w:pPr>
    </w:p>
    <w:p w:rsidR="007E2F2A" w:rsidRPr="0037121C" w:rsidRDefault="007E2F2A" w:rsidP="007E2F2A">
      <w:pPr>
        <w:ind w:firstLine="720"/>
        <w:jc w:val="center"/>
        <w:rPr>
          <w:rFonts w:cstheme="minorHAnsi"/>
          <w:i/>
          <w:szCs w:val="22"/>
        </w:rPr>
      </w:pPr>
      <w:smartTag w:uri="urn:schemas-microsoft-com:office:smarttags" w:element="stockticker">
        <w:r w:rsidRPr="0037121C">
          <w:rPr>
            <w:rFonts w:cstheme="minorHAnsi"/>
            <w:i/>
            <w:szCs w:val="22"/>
          </w:rPr>
          <w:t>IMC</w:t>
        </w:r>
      </w:smartTag>
      <w:r w:rsidRPr="0037121C">
        <w:rPr>
          <w:rFonts w:cstheme="minorHAnsi"/>
          <w:i/>
          <w:szCs w:val="22"/>
        </w:rPr>
        <w:t xml:space="preserve"> </w:t>
      </w:r>
      <w:r w:rsidRPr="0037121C">
        <w:rPr>
          <w:rFonts w:cstheme="minorHAnsi"/>
          <w:i/>
          <w:szCs w:val="22"/>
        </w:rPr>
        <w:tab/>
        <w:t>= Measure Equipment Cost – Base Case Equipment Cost</w:t>
      </w:r>
    </w:p>
    <w:p w:rsidR="00E16609" w:rsidRPr="00397406" w:rsidRDefault="00E16609" w:rsidP="001C0F36">
      <w:pPr>
        <w:rPr>
          <w:rFonts w:cstheme="minorHAnsi"/>
          <w:szCs w:val="22"/>
        </w:rPr>
      </w:pPr>
      <w:r w:rsidRPr="00397406">
        <w:rPr>
          <w:rFonts w:cstheme="minorHAnsi"/>
          <w:szCs w:val="22"/>
        </w:rPr>
        <w:br w:type="page"/>
      </w:r>
    </w:p>
    <w:bookmarkEnd w:id="35"/>
    <w:p w:rsidR="00E16609" w:rsidRPr="00397406" w:rsidRDefault="00E16609" w:rsidP="00E16609">
      <w:pPr>
        <w:pStyle w:val="Heading1"/>
        <w:rPr>
          <w:rFonts w:cstheme="minorHAnsi"/>
        </w:rPr>
      </w:pPr>
      <w:r w:rsidRPr="00397406">
        <w:rPr>
          <w:rFonts w:cstheme="minorHAnsi"/>
        </w:rPr>
        <w:lastRenderedPageBreak/>
        <w:t>Attachments</w:t>
      </w:r>
    </w:p>
    <w:p w:rsidR="000407BD" w:rsidRPr="006E30ED" w:rsidRDefault="006E30ED" w:rsidP="00E40CF9">
      <w:pPr>
        <w:pStyle w:val="Reminders"/>
        <w:rPr>
          <w:rFonts w:asciiTheme="minorHAnsi" w:hAnsiTheme="minorHAnsi" w:cstheme="minorHAnsi"/>
          <w:i w:val="0"/>
          <w:szCs w:val="22"/>
        </w:rPr>
      </w:pPr>
      <w:r w:rsidRPr="006E30ED">
        <w:rPr>
          <w:rFonts w:cstheme="minorHAnsi"/>
          <w:i w:val="0"/>
          <w:color w:val="auto"/>
          <w:szCs w:val="22"/>
        </w:rPr>
        <w:t>See accompanying file</w:t>
      </w:r>
      <w:r>
        <w:rPr>
          <w:rFonts w:cstheme="minorHAnsi"/>
          <w:i w:val="0"/>
          <w:color w:val="auto"/>
          <w:szCs w:val="22"/>
        </w:rPr>
        <w:t>,</w:t>
      </w:r>
      <w:r w:rsidRPr="006E30ED">
        <w:rPr>
          <w:rFonts w:cstheme="minorHAnsi"/>
          <w:i w:val="0"/>
          <w:color w:val="auto"/>
          <w:szCs w:val="22"/>
        </w:rPr>
        <w:t xml:space="preserve"> </w:t>
      </w:r>
      <w:r w:rsidR="00B872C4">
        <w:rPr>
          <w:rFonts w:cstheme="minorHAnsi"/>
          <w:i w:val="0"/>
          <w:color w:val="auto"/>
          <w:szCs w:val="22"/>
        </w:rPr>
        <w:t>PGECOHVC146 R4</w:t>
      </w:r>
      <w:r w:rsidR="00B872C4" w:rsidRPr="00B872C4">
        <w:rPr>
          <w:rFonts w:cstheme="minorHAnsi"/>
          <w:i w:val="0"/>
          <w:color w:val="auto"/>
          <w:szCs w:val="22"/>
        </w:rPr>
        <w:t xml:space="preserve"> - 95 AFUE NONRES 9-11-2015</w:t>
      </w:r>
      <w:r w:rsidRPr="006E30ED">
        <w:rPr>
          <w:rFonts w:cstheme="minorHAnsi"/>
          <w:i w:val="0"/>
          <w:color w:val="auto"/>
          <w:szCs w:val="22"/>
        </w:rPr>
        <w:t>.xlsx</w:t>
      </w:r>
    </w:p>
    <w:p w:rsidR="00A500D6" w:rsidRPr="00397406" w:rsidRDefault="00A500D6" w:rsidP="00E16609">
      <w:pPr>
        <w:rPr>
          <w:rFonts w:cstheme="minorHAnsi"/>
        </w:rPr>
      </w:pPr>
    </w:p>
    <w:p w:rsidR="00612041" w:rsidRPr="00397406" w:rsidRDefault="00612041" w:rsidP="00E16609">
      <w:pPr>
        <w:rPr>
          <w:rFonts w:cstheme="minorHAnsi"/>
        </w:rPr>
      </w:pPr>
    </w:p>
    <w:p w:rsidR="00C54EFF" w:rsidRPr="00397406" w:rsidRDefault="00C54EFF" w:rsidP="00E16609">
      <w:pPr>
        <w:rPr>
          <w:rFonts w:cstheme="minorHAnsi"/>
        </w:rPr>
      </w:pPr>
    </w:p>
    <w:p w:rsidR="00C54EFF" w:rsidRPr="00397406" w:rsidRDefault="00C54EFF">
      <w:pPr>
        <w:spacing w:after="200" w:line="276" w:lineRule="auto"/>
        <w:rPr>
          <w:rFonts w:cstheme="minorHAnsi"/>
        </w:rPr>
      </w:pPr>
      <w:r w:rsidRPr="00397406">
        <w:rPr>
          <w:rFonts w:cstheme="minorHAnsi"/>
        </w:rPr>
        <w:br w:type="page"/>
      </w:r>
    </w:p>
    <w:p w:rsidR="00C54EFF" w:rsidRPr="00397406" w:rsidRDefault="00C54EFF" w:rsidP="00C54EFF">
      <w:pPr>
        <w:pStyle w:val="Heading1"/>
        <w:rPr>
          <w:rFonts w:cstheme="minorHAnsi"/>
        </w:rPr>
      </w:pPr>
      <w:r w:rsidRPr="00397406">
        <w:rPr>
          <w:rFonts w:cstheme="minorHAnsi"/>
        </w:rPr>
        <w:lastRenderedPageBreak/>
        <w:t>References</w:t>
      </w:r>
    </w:p>
    <w:p w:rsidR="00A17664" w:rsidRPr="00397406" w:rsidRDefault="00A17664" w:rsidP="0091424C">
      <w:pPr>
        <w:pStyle w:val="Reminders"/>
        <w:rPr>
          <w:rStyle w:val="ReminderChar"/>
          <w:rFonts w:asciiTheme="minorHAnsi" w:hAnsiTheme="minorHAnsi" w:cstheme="minorHAnsi"/>
          <w:sz w:val="22"/>
          <w:szCs w:val="22"/>
        </w:rPr>
      </w:pPr>
    </w:p>
    <w:bookmarkStart w:id="36" w:name="_MON_1452317246"/>
    <w:bookmarkEnd w:id="36"/>
    <w:p w:rsidR="00A17664" w:rsidRPr="00397406" w:rsidRDefault="00DE5FCF" w:rsidP="0091424C">
      <w:pPr>
        <w:pStyle w:val="Reminders"/>
        <w:rPr>
          <w:rFonts w:asciiTheme="minorHAnsi" w:hAnsiTheme="minorHAnsi"/>
          <w:i w:val="0"/>
        </w:rPr>
      </w:pPr>
      <w:r w:rsidRPr="00397406">
        <w:rPr>
          <w:rFonts w:asciiTheme="minorHAnsi" w:hAnsiTheme="minorHAnsi"/>
          <w:i w:val="0"/>
        </w:rPr>
        <w:object w:dxaOrig="1531" w:dyaOrig="990">
          <v:shape id="_x0000_i1035" type="#_x0000_t75" style="width:76.5pt;height:49.5pt" o:ole="">
            <v:imagedata r:id="rId38" o:title=""/>
          </v:shape>
          <o:OLEObject Type="Embed" ProgID="Excel.Sheet.12" ShapeID="_x0000_i1035" DrawAspect="Icon" ObjectID="_1543839995" r:id="rId39"/>
        </w:object>
      </w:r>
    </w:p>
    <w:p w:rsidR="0091424C" w:rsidRPr="00397406" w:rsidRDefault="0091424C" w:rsidP="00AB36DB">
      <w:pPr>
        <w:rPr>
          <w:rFonts w:cstheme="minorHAnsi"/>
          <w:color w:val="FF0000"/>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A</w:t>
      </w:r>
      <w:r>
        <w:rPr>
          <w:rFonts w:cstheme="minorHAnsi"/>
          <w:szCs w:val="22"/>
        </w:rPr>
        <w:t xml:space="preserve">] </w:t>
      </w:r>
      <w:r w:rsidR="007876BA" w:rsidRPr="007876BA">
        <w:rPr>
          <w:rFonts w:cstheme="minorHAnsi"/>
          <w:szCs w:val="22"/>
        </w:rPr>
        <w:t xml:space="preserve"> </w:t>
      </w:r>
      <w:r>
        <w:t xml:space="preserve">Department of Energy, “Energy Conservation Program: Energy Conservation Standards for Residential Furnaces and Residential Central Air Conditioners and Heat Pumps”, 10 CFR Part 430, Docket Number EERE-2011-BT-STD-0011, June 27, 2011.  </w:t>
      </w:r>
      <w:hyperlink r:id="rId40" w:history="1">
        <w:r w:rsidRPr="008D388C">
          <w:rPr>
            <w:rStyle w:val="Hyperlink"/>
          </w:rPr>
          <w:t>http://www1.eere.energy.gov/buildings/appliance_standards/pdfs/cacfurn_dfr.pdf</w:t>
        </w:r>
      </w:hyperlink>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B</w:t>
      </w:r>
      <w:r>
        <w:rPr>
          <w:rFonts w:cstheme="minorHAnsi"/>
          <w:szCs w:val="22"/>
        </w:rPr>
        <w:t>]</w:t>
      </w:r>
      <w:r w:rsidR="007876BA" w:rsidRPr="007876BA">
        <w:rPr>
          <w:rFonts w:cstheme="minorHAnsi"/>
          <w:szCs w:val="22"/>
        </w:rPr>
        <w:t xml:space="preserve"> </w:t>
      </w:r>
      <w:r w:rsidRPr="008A2B23">
        <w:t>Residential Furnace Blower Performance, Walker, I.S., p</w:t>
      </w:r>
      <w:r>
        <w:t>age</w:t>
      </w:r>
      <w:r w:rsidRPr="008A2B23">
        <w:t xml:space="preserve"> 3, published by Lawrence Berkeley National Laboratory (LBNL), LBNL-61467, October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C</w:t>
      </w:r>
      <w:r>
        <w:rPr>
          <w:rFonts w:cstheme="minorHAnsi"/>
          <w:szCs w:val="22"/>
        </w:rPr>
        <w:t>]</w:t>
      </w:r>
      <w:r w:rsidR="007876BA" w:rsidRPr="007876BA">
        <w:rPr>
          <w:rFonts w:cstheme="minorHAnsi"/>
          <w:szCs w:val="22"/>
        </w:rPr>
        <w:t xml:space="preserve"> </w:t>
      </w:r>
      <w:r w:rsidRPr="008A2B23">
        <w:t xml:space="preserve">California Commercial End-Use Survey (CEUS), published by the California Energy Commission (CEC), CEC-400-2006-005, accessed at </w:t>
      </w:r>
      <w:hyperlink r:id="rId41" w:history="1">
        <w:r w:rsidRPr="008A2B23">
          <w:rPr>
            <w:rStyle w:val="Hyperlink"/>
          </w:rPr>
          <w:t>http://www.energy.ca.gov/ceus/index.html</w:t>
        </w:r>
      </w:hyperlink>
      <w:r w:rsidRPr="008A2B23">
        <w:t>, March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D</w:t>
      </w:r>
      <w:r>
        <w:rPr>
          <w:rFonts w:cstheme="minorHAnsi"/>
          <w:szCs w:val="22"/>
        </w:rPr>
        <w:t>]</w:t>
      </w:r>
      <w:r w:rsidR="007876BA" w:rsidRPr="007876BA">
        <w:rPr>
          <w:rFonts w:cstheme="minorHAnsi"/>
          <w:szCs w:val="22"/>
        </w:rPr>
        <w:t xml:space="preserve"> </w:t>
      </w:r>
      <w:r w:rsidRPr="008A2B23">
        <w:t>Energy Conservation Standards for Residential Furnaces and Residential Central Air Conditioners and Heat Pumps, Table IV.1, published by Department of Energy, EERE-2011-BT-STD, June 2011.</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E</w:t>
      </w:r>
      <w:r>
        <w:rPr>
          <w:rFonts w:cstheme="minorHAnsi"/>
          <w:szCs w:val="22"/>
        </w:rPr>
        <w:t>]</w:t>
      </w:r>
      <w:r w:rsidR="007876BA" w:rsidRPr="007876BA">
        <w:rPr>
          <w:rFonts w:cstheme="minorHAnsi"/>
          <w:szCs w:val="22"/>
        </w:rPr>
        <w:t xml:space="preserve">  </w:t>
      </w:r>
      <w:r w:rsidRPr="008A2B23">
        <w:t xml:space="preserve">Natural Gas Furnace Market Assessment, </w:t>
      </w:r>
      <w:proofErr w:type="spellStart"/>
      <w:r w:rsidRPr="008A2B23">
        <w:t>Habart</w:t>
      </w:r>
      <w:proofErr w:type="spellEnd"/>
      <w:r w:rsidRPr="008A2B23">
        <w:t xml:space="preserve">, J., pp. </w:t>
      </w:r>
      <w:proofErr w:type="spellStart"/>
      <w:r w:rsidRPr="008A2B23">
        <w:t>i</w:t>
      </w:r>
      <w:proofErr w:type="spellEnd"/>
      <w:r w:rsidRPr="008A2B23">
        <w:t>-ii, published by Energy Trust of Oregon, August 2005, page 22.</w:t>
      </w:r>
    </w:p>
    <w:p w:rsidR="007876BA" w:rsidRPr="007876BA" w:rsidRDefault="007876BA" w:rsidP="007876BA">
      <w:pPr>
        <w:ind w:left="720" w:hanging="720"/>
        <w:rPr>
          <w:rFonts w:cstheme="minorHAnsi"/>
          <w:szCs w:val="22"/>
        </w:rPr>
      </w:pPr>
    </w:p>
    <w:p w:rsidR="007876BA" w:rsidRPr="007876BA" w:rsidRDefault="007876BA" w:rsidP="007876BA">
      <w:pPr>
        <w:ind w:left="720" w:hanging="720"/>
        <w:rPr>
          <w:rFonts w:cstheme="minorHAnsi"/>
          <w:szCs w:val="22"/>
        </w:rPr>
      </w:pPr>
      <w:bookmarkStart w:id="37" w:name="_MON_1401885383"/>
      <w:bookmarkStart w:id="38" w:name="_MON_1401885531"/>
      <w:bookmarkStart w:id="39" w:name="_MON_1401885701"/>
      <w:bookmarkEnd w:id="37"/>
      <w:bookmarkEnd w:id="38"/>
      <w:bookmarkEnd w:id="39"/>
    </w:p>
    <w:p w:rsidR="007876BA" w:rsidRPr="007876BA" w:rsidRDefault="007876BA" w:rsidP="007876BA">
      <w:pPr>
        <w:rPr>
          <w:rFonts w:cstheme="minorHAnsi"/>
          <w:szCs w:val="22"/>
        </w:rPr>
      </w:pPr>
    </w:p>
    <w:p w:rsidR="00DE5FCF" w:rsidRPr="007876BA" w:rsidRDefault="00DE5FCF" w:rsidP="007876BA">
      <w:pPr>
        <w:rPr>
          <w:rFonts w:cstheme="minorHAnsi"/>
          <w:color w:val="FF0000"/>
          <w:szCs w:val="22"/>
        </w:rPr>
      </w:pPr>
    </w:p>
    <w:p w:rsidR="0091424C" w:rsidRPr="00397406" w:rsidRDefault="0091424C" w:rsidP="00AB36DB">
      <w:pPr>
        <w:rPr>
          <w:rFonts w:cstheme="minorHAnsi"/>
        </w:rPr>
      </w:pPr>
    </w:p>
    <w:p w:rsidR="00AB36DB" w:rsidRPr="00397406" w:rsidRDefault="00AB36DB" w:rsidP="00AB36DB"/>
    <w:p w:rsidR="008E25B1" w:rsidRPr="00397406" w:rsidRDefault="008E25B1">
      <w:pPr>
        <w:spacing w:after="200" w:line="276" w:lineRule="auto"/>
      </w:pPr>
      <w:r w:rsidRPr="00397406">
        <w:br w:type="page"/>
      </w:r>
    </w:p>
    <w:p w:rsidR="008E25B1" w:rsidRPr="00397406" w:rsidRDefault="00E87C8F" w:rsidP="00E87C8F">
      <w:pPr>
        <w:pStyle w:val="Heading1"/>
      </w:pPr>
      <w:r w:rsidRPr="00397406">
        <w:lastRenderedPageBreak/>
        <w:t>Appendix A</w:t>
      </w:r>
      <w:r w:rsidR="00B4065F" w:rsidRPr="00397406">
        <w:t>:</w:t>
      </w:r>
      <w:r w:rsidRPr="00397406">
        <w:t xml:space="preserve"> </w:t>
      </w:r>
      <w:r w:rsidR="00B4065F" w:rsidRPr="00397406">
        <w:t>Application</w:t>
      </w:r>
      <w:r w:rsidRPr="00397406">
        <w:t xml:space="preserve"> Types</w:t>
      </w:r>
    </w:p>
    <w:p w:rsidR="00933188" w:rsidRPr="00397406" w:rsidRDefault="00933188" w:rsidP="00933188">
      <w:pPr>
        <w:rPr>
          <w:szCs w:val="22"/>
        </w:rPr>
      </w:pPr>
      <w:r w:rsidRPr="00397406">
        <w:t xml:space="preserve">This table </w:t>
      </w:r>
      <w:r w:rsidR="007876BA">
        <w:t>shows t</w:t>
      </w:r>
      <w:r w:rsidRPr="00397406">
        <w:t xml:space="preserve">he application types in </w:t>
      </w:r>
      <w:r w:rsidR="007876BA">
        <w:t>PG&amp;E</w:t>
      </w:r>
      <w:r w:rsidRPr="00397406">
        <w:t xml:space="preserve"> systems with those in DEER.</w:t>
      </w:r>
    </w:p>
    <w:p w:rsidR="00933188" w:rsidRPr="00397406" w:rsidRDefault="00933188" w:rsidP="00933188"/>
    <w:tbl>
      <w:tblPr>
        <w:tblStyle w:val="TableContemporary"/>
        <w:tblW w:w="9508" w:type="dxa"/>
        <w:tblLayout w:type="fixed"/>
        <w:tblLook w:val="04A0" w:firstRow="1" w:lastRow="0" w:firstColumn="1" w:lastColumn="0" w:noHBand="0" w:noVBand="1"/>
      </w:tblPr>
      <w:tblGrid>
        <w:gridCol w:w="1458"/>
        <w:gridCol w:w="1710"/>
        <w:gridCol w:w="1350"/>
        <w:gridCol w:w="1170"/>
        <w:gridCol w:w="1170"/>
        <w:gridCol w:w="1170"/>
        <w:gridCol w:w="630"/>
        <w:gridCol w:w="850"/>
      </w:tblGrid>
      <w:tr w:rsidR="00E87C8F" w:rsidRPr="00397406" w:rsidTr="00A523FF">
        <w:trPr>
          <w:cnfStyle w:val="100000000000" w:firstRow="1" w:lastRow="0" w:firstColumn="0" w:lastColumn="0" w:oddVBand="0" w:evenVBand="0" w:oddHBand="0" w:evenHBand="0" w:firstRowFirstColumn="0" w:firstRowLastColumn="0" w:lastRowFirstColumn="0" w:lastRowLastColumn="0"/>
          <w:trHeight w:val="581"/>
        </w:trPr>
        <w:tc>
          <w:tcPr>
            <w:tcW w:w="1458" w:type="dxa"/>
            <w:vMerge w:val="restart"/>
          </w:tcPr>
          <w:p w:rsidR="00E87C8F" w:rsidRPr="007876BA" w:rsidRDefault="00B4065F" w:rsidP="00A523FF">
            <w:pPr>
              <w:rPr>
                <w:rFonts w:asciiTheme="minorHAnsi" w:hAnsiTheme="minorHAnsi"/>
                <w:sz w:val="22"/>
                <w:szCs w:val="22"/>
              </w:rPr>
            </w:pPr>
            <w:r w:rsidRPr="007876BA">
              <w:rPr>
                <w:rFonts w:asciiTheme="minorHAnsi" w:hAnsiTheme="minorHAnsi"/>
                <w:sz w:val="22"/>
                <w:szCs w:val="22"/>
              </w:rPr>
              <w:t>Application</w:t>
            </w:r>
            <w:r w:rsidR="00A523FF" w:rsidRPr="007876BA">
              <w:rPr>
                <w:rFonts w:asciiTheme="minorHAnsi" w:hAnsiTheme="minorHAnsi"/>
                <w:sz w:val="22"/>
                <w:szCs w:val="22"/>
              </w:rPr>
              <w:t xml:space="preserve"> (Program)</w:t>
            </w:r>
            <w:r w:rsidR="00E87C8F" w:rsidRPr="007876BA">
              <w:rPr>
                <w:rFonts w:asciiTheme="minorHAnsi" w:hAnsiTheme="minorHAnsi"/>
                <w:sz w:val="22"/>
                <w:szCs w:val="22"/>
              </w:rPr>
              <w:t xml:space="preserve"> Type</w:t>
            </w:r>
          </w:p>
        </w:tc>
        <w:tc>
          <w:tcPr>
            <w:tcW w:w="1710" w:type="dxa"/>
            <w:vMerge w:val="restart"/>
          </w:tcPr>
          <w:p w:rsidR="00E87C8F" w:rsidRPr="007876BA" w:rsidRDefault="00A523FF" w:rsidP="00A523FF">
            <w:pPr>
              <w:rPr>
                <w:rFonts w:asciiTheme="minorHAnsi" w:hAnsiTheme="minorHAnsi"/>
                <w:sz w:val="22"/>
                <w:szCs w:val="22"/>
              </w:rPr>
            </w:pPr>
            <w:r w:rsidRPr="007876BA">
              <w:rPr>
                <w:rFonts w:asciiTheme="minorHAnsi" w:hAnsiTheme="minorHAnsi"/>
                <w:sz w:val="22"/>
                <w:szCs w:val="22"/>
              </w:rPr>
              <w:t>DEER</w:t>
            </w:r>
            <w:r w:rsidR="00E87C8F" w:rsidRPr="007876BA">
              <w:rPr>
                <w:rFonts w:asciiTheme="minorHAnsi" w:hAnsiTheme="minorHAnsi"/>
                <w:sz w:val="22"/>
                <w:szCs w:val="22"/>
              </w:rPr>
              <w:t xml:space="preserve"> Application Type</w:t>
            </w:r>
          </w:p>
        </w:tc>
        <w:tc>
          <w:tcPr>
            <w:tcW w:w="252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Savings</w:t>
            </w:r>
          </w:p>
        </w:tc>
        <w:tc>
          <w:tcPr>
            <w:tcW w:w="234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Cost</w:t>
            </w:r>
          </w:p>
        </w:tc>
        <w:tc>
          <w:tcPr>
            <w:tcW w:w="148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Life</w:t>
            </w:r>
          </w:p>
        </w:tc>
      </w:tr>
      <w:tr w:rsidR="00E87C8F" w:rsidRPr="00397406" w:rsidTr="00A523FF">
        <w:trPr>
          <w:cnfStyle w:val="000000100000" w:firstRow="0" w:lastRow="0" w:firstColumn="0" w:lastColumn="0" w:oddVBand="0" w:evenVBand="0" w:oddHBand="1" w:evenHBand="0" w:firstRowFirstColumn="0" w:firstRowLastColumn="0" w:lastRowFirstColumn="0" w:lastRowLastColumn="0"/>
          <w:trHeight w:val="581"/>
        </w:trPr>
        <w:tc>
          <w:tcPr>
            <w:tcW w:w="1458" w:type="dxa"/>
            <w:vMerge/>
          </w:tcPr>
          <w:p w:rsidR="00E87C8F" w:rsidRPr="007876BA" w:rsidRDefault="00E87C8F" w:rsidP="00A523FF">
            <w:pPr>
              <w:rPr>
                <w:rFonts w:asciiTheme="minorHAnsi" w:hAnsiTheme="minorHAnsi"/>
                <w:sz w:val="22"/>
                <w:szCs w:val="22"/>
              </w:rPr>
            </w:pPr>
          </w:p>
        </w:tc>
        <w:tc>
          <w:tcPr>
            <w:tcW w:w="1710" w:type="dxa"/>
            <w:vMerge/>
          </w:tcPr>
          <w:p w:rsidR="00E87C8F" w:rsidRPr="007876BA" w:rsidRDefault="00E87C8F" w:rsidP="00A523FF">
            <w:pPr>
              <w:rPr>
                <w:rFonts w:asciiTheme="minorHAnsi" w:hAnsiTheme="minorHAnsi"/>
                <w:sz w:val="22"/>
                <w:szCs w:val="22"/>
              </w:rPr>
            </w:pPr>
          </w:p>
        </w:tc>
        <w:tc>
          <w:tcPr>
            <w:tcW w:w="13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00933188" w:rsidRPr="007876BA">
              <w:rPr>
                <w:rFonts w:asciiTheme="minorHAnsi" w:hAnsiTheme="minorHAnsi"/>
                <w:b/>
                <w:sz w:val="22"/>
                <w:szCs w:val="22"/>
              </w:rPr>
              <w:t xml:space="preserve"> Baseline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63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8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r>
      <w:tr w:rsidR="00E87C8F" w:rsidRPr="00397406" w:rsidTr="00A523FF">
        <w:trPr>
          <w:cnfStyle w:val="000000010000" w:firstRow="0" w:lastRow="0" w:firstColumn="0" w:lastColumn="0" w:oddVBand="0" w:evenVBand="0" w:oddHBand="0" w:evenHBand="1" w:firstRowFirstColumn="0" w:firstRowLastColumn="0" w:lastRowFirstColumn="0" w:lastRowLastColumn="0"/>
          <w:trHeight w:val="600"/>
        </w:trPr>
        <w:tc>
          <w:tcPr>
            <w:tcW w:w="1458" w:type="dxa"/>
          </w:tcPr>
          <w:p w:rsidR="00E87C8F" w:rsidRPr="007876BA" w:rsidRDefault="00926276" w:rsidP="00926276">
            <w:pPr>
              <w:rPr>
                <w:rFonts w:asciiTheme="minorHAnsi" w:hAnsiTheme="minorHAnsi"/>
                <w:sz w:val="22"/>
                <w:szCs w:val="22"/>
              </w:rPr>
            </w:pPr>
            <w:r>
              <w:rPr>
                <w:rFonts w:asciiTheme="minorHAnsi" w:hAnsiTheme="minorHAnsi"/>
                <w:sz w:val="22"/>
                <w:szCs w:val="22"/>
              </w:rPr>
              <w:t>ROB</w:t>
            </w:r>
            <w:r w:rsidR="00B85EB2">
              <w:rPr>
                <w:rFonts w:asciiTheme="minorHAnsi" w:hAnsiTheme="minorHAnsi"/>
                <w:sz w:val="22"/>
                <w:szCs w:val="22"/>
              </w:rPr>
              <w:t>, NC</w:t>
            </w:r>
          </w:p>
        </w:tc>
        <w:tc>
          <w:tcPr>
            <w:tcW w:w="171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3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Above Customer Existing</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Full Cost</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63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EUL</w:t>
            </w:r>
          </w:p>
        </w:tc>
        <w:tc>
          <w:tcPr>
            <w:tcW w:w="8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0</w:t>
            </w:r>
          </w:p>
        </w:tc>
      </w:tr>
    </w:tbl>
    <w:p w:rsidR="00E87C8F" w:rsidRPr="00397406" w:rsidRDefault="00E87C8F" w:rsidP="00E87C8F">
      <w:pPr>
        <w:spacing w:after="200" w:line="276" w:lineRule="auto"/>
      </w:pPr>
    </w:p>
    <w:p w:rsidR="00E87C8F" w:rsidRPr="00397406" w:rsidRDefault="00E87C8F">
      <w:pPr>
        <w:spacing w:after="200" w:line="276" w:lineRule="auto"/>
      </w:pPr>
      <w:r w:rsidRPr="00397406">
        <w:br w:type="page"/>
      </w:r>
    </w:p>
    <w:p w:rsidR="00F476E8" w:rsidRPr="00397406" w:rsidRDefault="00E87C8F" w:rsidP="00E071A5">
      <w:pPr>
        <w:pStyle w:val="Heading1"/>
      </w:pPr>
      <w:r w:rsidRPr="00397406">
        <w:lastRenderedPageBreak/>
        <w:t>Appendix B</w:t>
      </w:r>
      <w:r w:rsidR="00B4065F" w:rsidRPr="00397406">
        <w:t>:</w:t>
      </w:r>
      <w:r w:rsidRPr="00397406">
        <w:t xml:space="preserve"> Delivery Mechanism</w:t>
      </w:r>
      <w:r w:rsidR="00B4065F" w:rsidRPr="00397406">
        <w:t>s</w:t>
      </w:r>
    </w:p>
    <w:p w:rsidR="00A523FF" w:rsidRPr="00397406" w:rsidRDefault="00AC0B1D" w:rsidP="00A523FF">
      <w:r w:rsidRPr="00397406">
        <w:t>A delivery mechanism is a delivery method paired with an incentive method</w:t>
      </w:r>
      <w:r w:rsidR="00A523FF" w:rsidRPr="00397406">
        <w:t>.</w:t>
      </w:r>
      <w:r w:rsidRPr="00397406">
        <w:t xml:space="preserve"> </w:t>
      </w:r>
      <w:r w:rsidR="007876BA">
        <w:t>PG&amp;E</w:t>
      </w:r>
      <w:r w:rsidRPr="00397406">
        <w:t>’s delivery methods include:</w:t>
      </w:r>
    </w:p>
    <w:p w:rsidR="00AC0B1D" w:rsidRDefault="00AC0B1D" w:rsidP="006E30ED">
      <w:pPr>
        <w:pStyle w:val="ListParagraph"/>
      </w:pPr>
    </w:p>
    <w:p w:rsidR="007876BA" w:rsidRPr="00397406" w:rsidRDefault="007876BA" w:rsidP="00AC0B1D">
      <w:pPr>
        <w:pStyle w:val="ListParagraph"/>
        <w:numPr>
          <w:ilvl w:val="0"/>
          <w:numId w:val="13"/>
        </w:numPr>
      </w:pPr>
      <w:r>
        <w:t>Downstream Programs</w:t>
      </w:r>
    </w:p>
    <w:p w:rsidR="00AC0B1D" w:rsidRPr="00397406" w:rsidRDefault="00AC0B1D" w:rsidP="007876BA">
      <w:pPr>
        <w:pStyle w:val="ListParagraph"/>
      </w:pPr>
    </w:p>
    <w:p w:rsidR="00AC0B1D" w:rsidRPr="00397406" w:rsidRDefault="00AC0B1D" w:rsidP="00A523FF">
      <w:r w:rsidRPr="00397406">
        <w:t>The following table describes the incentive methods.</w:t>
      </w:r>
    </w:p>
    <w:p w:rsidR="00A523FF" w:rsidRPr="00397406" w:rsidRDefault="00A523FF" w:rsidP="00A523FF"/>
    <w:tbl>
      <w:tblPr>
        <w:tblStyle w:val="TableContemporary"/>
        <w:tblW w:w="0" w:type="auto"/>
        <w:tblLook w:val="04A0" w:firstRow="1" w:lastRow="0" w:firstColumn="1" w:lastColumn="0" w:noHBand="0" w:noVBand="1"/>
      </w:tblPr>
      <w:tblGrid>
        <w:gridCol w:w="2358"/>
        <w:gridCol w:w="7218"/>
      </w:tblGrid>
      <w:tr w:rsidR="00A523FF" w:rsidRPr="00397406" w:rsidTr="00A523FF">
        <w:trPr>
          <w:cnfStyle w:val="100000000000" w:firstRow="1" w:lastRow="0" w:firstColumn="0" w:lastColumn="0" w:oddVBand="0" w:evenVBand="0" w:oddHBand="0" w:evenHBand="0" w:firstRowFirstColumn="0" w:firstRowLastColumn="0" w:lastRowFirstColumn="0" w:lastRowLastColumn="0"/>
        </w:trPr>
        <w:tc>
          <w:tcPr>
            <w:tcW w:w="2358" w:type="dxa"/>
          </w:tcPr>
          <w:p w:rsidR="00A523FF" w:rsidRPr="00397406" w:rsidRDefault="00AC0B1D" w:rsidP="00A523FF">
            <w:pPr>
              <w:rPr>
                <w:rFonts w:asciiTheme="minorHAnsi" w:hAnsiTheme="minorHAnsi"/>
              </w:rPr>
            </w:pPr>
            <w:r w:rsidRPr="00397406">
              <w:rPr>
                <w:rFonts w:asciiTheme="minorHAnsi" w:hAnsiTheme="minorHAnsi"/>
              </w:rPr>
              <w:t>Incentive Method</w:t>
            </w:r>
          </w:p>
        </w:tc>
        <w:tc>
          <w:tcPr>
            <w:tcW w:w="7218" w:type="dxa"/>
          </w:tcPr>
          <w:p w:rsidR="00A523FF" w:rsidRPr="00397406" w:rsidRDefault="00A523FF" w:rsidP="00A523FF">
            <w:pPr>
              <w:rPr>
                <w:rFonts w:asciiTheme="minorHAnsi" w:hAnsiTheme="minorHAnsi"/>
              </w:rPr>
            </w:pPr>
            <w:r w:rsidRPr="00397406">
              <w:rPr>
                <w:rFonts w:asciiTheme="minorHAnsi" w:hAnsiTheme="minorHAnsi"/>
              </w:rPr>
              <w:t>Description</w:t>
            </w:r>
          </w:p>
        </w:tc>
      </w:tr>
      <w:tr w:rsidR="00A523FF" w:rsidRPr="00397406" w:rsidTr="00A523FF">
        <w:trPr>
          <w:cnfStyle w:val="000000100000" w:firstRow="0" w:lastRow="0" w:firstColumn="0" w:lastColumn="0" w:oddVBand="0" w:evenVBand="0" w:oddHBand="1" w:evenHBand="0"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szCs w:val="20"/>
              </w:rPr>
              <w:t>Down-Stream Incentive - Deemed</w:t>
            </w:r>
          </w:p>
        </w:tc>
        <w:tc>
          <w:tcPr>
            <w:tcW w:w="7218" w:type="dxa"/>
          </w:tcPr>
          <w:p w:rsidR="00A523FF" w:rsidRPr="00397406" w:rsidRDefault="0070091B" w:rsidP="00296B49">
            <w:pPr>
              <w:rPr>
                <w:rFonts w:asciiTheme="minorHAnsi" w:hAnsiTheme="minorHAnsi"/>
              </w:rPr>
            </w:pPr>
            <w:r w:rsidRPr="00397406">
              <w:rPr>
                <w:rFonts w:asciiTheme="minorHAnsi" w:hAnsiTheme="minorHAnsi"/>
              </w:rPr>
              <w:t>The customer installs qualifying energy efficient equipment and submits an incentive application to the utility program. Upon application approval, the utility program</w:t>
            </w:r>
            <w:r w:rsidR="00070BEE" w:rsidRPr="00397406">
              <w:rPr>
                <w:rFonts w:asciiTheme="minorHAnsi" w:hAnsiTheme="minorHAnsi"/>
              </w:rPr>
              <w:t xml:space="preserve"> pays an </w:t>
            </w:r>
            <w:r w:rsidRPr="00397406">
              <w:rPr>
                <w:rFonts w:asciiTheme="minorHAnsi" w:hAnsiTheme="minorHAnsi"/>
              </w:rPr>
              <w:t>incentive to the customer.</w:t>
            </w:r>
          </w:p>
        </w:tc>
      </w:tr>
    </w:tbl>
    <w:p w:rsidR="00A523FF" w:rsidRPr="00397406" w:rsidRDefault="00A523FF" w:rsidP="00A523FF"/>
    <w:sectPr w:rsidR="00A523FF" w:rsidRPr="00397406" w:rsidSect="007876BA">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DFA" w:rsidRDefault="006C0DFA" w:rsidP="00447D6E">
      <w:r>
        <w:separator/>
      </w:r>
    </w:p>
  </w:endnote>
  <w:endnote w:type="continuationSeparator" w:id="0">
    <w:p w:rsidR="006C0DFA" w:rsidRDefault="006C0DFA"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A9" w:rsidRPr="00FA3149" w:rsidRDefault="00FA1EA9" w:rsidP="00447D6E">
    <w:pPr>
      <w:pStyle w:val="Footer"/>
      <w:jc w:val="right"/>
      <w:rPr>
        <w:rFonts w:cstheme="minorHAnsi"/>
        <w:b/>
        <w:sz w:val="36"/>
        <w:szCs w:val="36"/>
      </w:rPr>
    </w:pPr>
    <w:sdt>
      <w:sdtPr>
        <w:rPr>
          <w:rFonts w:cstheme="minorHAnsi"/>
          <w:b/>
          <w:sz w:val="36"/>
          <w:szCs w:val="36"/>
        </w:rPr>
        <w:alias w:val="Date"/>
        <w:tag w:val=""/>
        <w:id w:val="626895829"/>
        <w:placeholder>
          <w:docPart w:val="2B363068873E4A96A5BDA3A6BCE727F1"/>
        </w:placeholder>
        <w:dataBinding w:prefixMappings="xmlns:ns0='http://schemas.microsoft.com/office/2006/coverPageProps' " w:xpath="/ns0:CoverPageProperties[1]/ns0:PublishDate[1]" w:storeItemID="{55AF091B-3C7A-41E3-B477-F2FDAA23CFDA}"/>
        <w:date w:fullDate="2017-01-01T00:00:00Z">
          <w:dateFormat w:val="MMMM d, yyyy"/>
          <w:lid w:val="en-US"/>
          <w:storeMappedDataAs w:val="dateTime"/>
          <w:calendar w:val="gregorian"/>
        </w:date>
      </w:sdtPr>
      <w:sdtContent>
        <w:r>
          <w:rPr>
            <w:rFonts w:cstheme="minorHAnsi"/>
            <w:b/>
            <w:sz w:val="36"/>
            <w:szCs w:val="36"/>
          </w:rPr>
          <w:t>January 1, 2017</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A9" w:rsidRPr="009500DC" w:rsidRDefault="00FA1EA9" w:rsidP="009500DC">
    <w:pPr>
      <w:pStyle w:val="Footer"/>
      <w:pBdr>
        <w:top w:val="single" w:sz="4" w:space="1" w:color="auto"/>
      </w:pBdr>
      <w:rPr>
        <w:rFonts w:cstheme="minorHAnsi"/>
        <w:b/>
        <w:sz w:val="20"/>
        <w:szCs w:val="20"/>
      </w:rPr>
    </w:pPr>
    <w:sdt>
      <w:sdtPr>
        <w:rPr>
          <w:rFonts w:cstheme="minorHAnsi"/>
          <w:b/>
          <w:sz w:val="20"/>
          <w:szCs w:val="20"/>
        </w:rPr>
        <w:alias w:val="Title"/>
        <w:tag w:val=""/>
        <w:id w:val="-622767845"/>
        <w:placeholder>
          <w:docPart w:val="89DABCE129504DF996472993CB0EBA18"/>
        </w:placeholder>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PGECOHVC146</w:t>
        </w:r>
      </w:sdtContent>
    </w:sdt>
    <w:r>
      <w:rPr>
        <w:rFonts w:cstheme="minorHAnsi"/>
        <w:b/>
        <w:sz w:val="20"/>
        <w:szCs w:val="20"/>
      </w:rPr>
      <w:t xml:space="preserve">, </w:t>
    </w:r>
    <w:sdt>
      <w:sdtPr>
        <w:rPr>
          <w:rFonts w:cstheme="minorHAnsi"/>
          <w:b/>
          <w:sz w:val="20"/>
          <w:szCs w:val="20"/>
        </w:rPr>
        <w:alias w:val="Revision"/>
        <w:tag w:val=""/>
        <w:id w:val="-979308963"/>
        <w:placeholder>
          <w:docPart w:val="0BE660D62F514EE6B1E147B3637238F2"/>
        </w:placeholder>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3</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24206C">
      <w:rPr>
        <w:rFonts w:cstheme="minorHAnsi"/>
        <w:b/>
        <w:noProof/>
        <w:sz w:val="20"/>
        <w:szCs w:val="20"/>
      </w:rPr>
      <w:t>7</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794524137"/>
        <w:placeholder>
          <w:docPart w:val="FADF98E92B6B4CF783B4115958C908E7"/>
        </w:placeholder>
        <w:dataBinding w:prefixMappings="xmlns:ns0='http://schemas.microsoft.com/office/2006/coverPageProps' " w:xpath="/ns0:CoverPageProperties[1]/ns0:PublishDate[1]" w:storeItemID="{55AF091B-3C7A-41E3-B477-F2FDAA23CFDA}"/>
        <w:date w:fullDate="2017-01-01T00:00:00Z">
          <w:dateFormat w:val="MMMM d, yyyy"/>
          <w:lid w:val="en-US"/>
          <w:storeMappedDataAs w:val="dateTime"/>
          <w:calendar w:val="gregorian"/>
        </w:date>
      </w:sdtPr>
      <w:sdtContent>
        <w:r>
          <w:rPr>
            <w:rFonts w:cstheme="minorHAnsi"/>
            <w:b/>
            <w:sz w:val="20"/>
            <w:szCs w:val="20"/>
          </w:rPr>
          <w:t>January 1, 2017</w:t>
        </w:r>
      </w:sdtContent>
    </w:sdt>
  </w:p>
  <w:p w:rsidR="00FA1EA9" w:rsidRPr="009500DC" w:rsidRDefault="00FA1EA9" w:rsidP="009500DC">
    <w:pPr>
      <w:pStyle w:val="Footer"/>
      <w:pBdr>
        <w:top w:val="single" w:sz="4" w:space="1" w:color="auto"/>
      </w:pBdr>
      <w:rPr>
        <w:rFonts w:cstheme="minorHAnsi"/>
      </w:rPr>
    </w:pPr>
    <w:sdt>
      <w:sdtPr>
        <w:rPr>
          <w:rFonts w:cstheme="minorHAnsi"/>
          <w:b/>
          <w:sz w:val="20"/>
          <w:szCs w:val="20"/>
        </w:rPr>
        <w:alias w:val="Company"/>
        <w:tag w:val=""/>
        <w:id w:val="-62724045"/>
        <w:placeholder>
          <w:docPart w:val="FDB7CFD1A3AE4EF19178EFA5A0DD5F95"/>
        </w:placeholder>
        <w:dataBinding w:prefixMappings="xmlns:ns0='http://schemas.openxmlformats.org/officeDocument/2006/extended-properties' " w:xpath="/ns0:Properties[1]/ns0:Company[1]" w:storeItemID="{6668398D-A668-4E3E-A5EB-62B293D839F1}"/>
        <w:text/>
      </w:sdtPr>
      <w:sdtContent>
        <w:r>
          <w:rPr>
            <w:rFonts w:cstheme="minorHAnsi"/>
            <w:b/>
            <w:sz w:val="20"/>
            <w:szCs w:val="20"/>
          </w:rPr>
          <w:t>Pacific Gas and Electric Company</w:t>
        </w:r>
      </w:sdtContent>
    </w:sdt>
  </w:p>
  <w:p w:rsidR="00FA1EA9" w:rsidRDefault="00FA1EA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DFA" w:rsidRDefault="006C0DFA" w:rsidP="00447D6E">
      <w:r>
        <w:separator/>
      </w:r>
    </w:p>
  </w:footnote>
  <w:footnote w:type="continuationSeparator" w:id="0">
    <w:p w:rsidR="006C0DFA" w:rsidRDefault="006C0DFA"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
    <w:nsid w:val="148D25CC"/>
    <w:multiLevelType w:val="hybridMultilevel"/>
    <w:tmpl w:val="210E6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
    <w:nsid w:val="1ADA4CB6"/>
    <w:multiLevelType w:val="hybridMultilevel"/>
    <w:tmpl w:val="560208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B275102"/>
    <w:multiLevelType w:val="hybridMultilevel"/>
    <w:tmpl w:val="EAD8F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444676"/>
    <w:multiLevelType w:val="hybridMultilevel"/>
    <w:tmpl w:val="B2227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B263D40"/>
    <w:multiLevelType w:val="hybridMultilevel"/>
    <w:tmpl w:val="0700E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DD32EE"/>
    <w:multiLevelType w:val="hybridMultilevel"/>
    <w:tmpl w:val="992002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12"/>
  </w:num>
  <w:num w:numId="3">
    <w:abstractNumId w:val="11"/>
  </w:num>
  <w:num w:numId="4">
    <w:abstractNumId w:val="9"/>
  </w:num>
  <w:num w:numId="5">
    <w:abstractNumId w:val="9"/>
  </w:num>
  <w:num w:numId="6">
    <w:abstractNumId w:val="1"/>
  </w:num>
  <w:num w:numId="7">
    <w:abstractNumId w:val="13"/>
  </w:num>
  <w:num w:numId="8">
    <w:abstractNumId w:val="10"/>
  </w:num>
  <w:num w:numId="9">
    <w:abstractNumId w:val="7"/>
  </w:num>
  <w:num w:numId="10">
    <w:abstractNumId w:val="3"/>
  </w:num>
  <w:num w:numId="11">
    <w:abstractNumId w:val="14"/>
  </w:num>
  <w:num w:numId="12">
    <w:abstractNumId w:val="8"/>
  </w:num>
  <w:num w:numId="13">
    <w:abstractNumId w:val="6"/>
  </w:num>
  <w:num w:numId="14">
    <w:abstractNumId w:val="2"/>
  </w:num>
  <w:num w:numId="15">
    <w:abstractNumId w:val="0"/>
  </w:num>
  <w:num w:numId="16">
    <w:abstractNumId w:val="5"/>
  </w:num>
  <w:num w:numId="17">
    <w:abstractNumId w:val="17"/>
  </w:num>
  <w:num w:numId="18">
    <w:abstractNumId w:val="15"/>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3667"/>
    <w:rsid w:val="00005902"/>
    <w:rsid w:val="000173BF"/>
    <w:rsid w:val="00024252"/>
    <w:rsid w:val="00027183"/>
    <w:rsid w:val="00033EA1"/>
    <w:rsid w:val="000407BD"/>
    <w:rsid w:val="00056947"/>
    <w:rsid w:val="00057AFA"/>
    <w:rsid w:val="00061A8E"/>
    <w:rsid w:val="00064CB3"/>
    <w:rsid w:val="00066BD8"/>
    <w:rsid w:val="00070BEE"/>
    <w:rsid w:val="00076DF4"/>
    <w:rsid w:val="00086F7F"/>
    <w:rsid w:val="0009074D"/>
    <w:rsid w:val="0009592B"/>
    <w:rsid w:val="000968C6"/>
    <w:rsid w:val="000A63C9"/>
    <w:rsid w:val="000A6F9C"/>
    <w:rsid w:val="000B3F62"/>
    <w:rsid w:val="000C0000"/>
    <w:rsid w:val="000C18CC"/>
    <w:rsid w:val="000C7ED1"/>
    <w:rsid w:val="000E706D"/>
    <w:rsid w:val="000F130A"/>
    <w:rsid w:val="00100103"/>
    <w:rsid w:val="00107242"/>
    <w:rsid w:val="001206F7"/>
    <w:rsid w:val="00126C5D"/>
    <w:rsid w:val="0013440D"/>
    <w:rsid w:val="00147155"/>
    <w:rsid w:val="00153CB3"/>
    <w:rsid w:val="00154C3B"/>
    <w:rsid w:val="00155A1E"/>
    <w:rsid w:val="001574F4"/>
    <w:rsid w:val="00165357"/>
    <w:rsid w:val="001722B7"/>
    <w:rsid w:val="001811EE"/>
    <w:rsid w:val="00182D20"/>
    <w:rsid w:val="001979AF"/>
    <w:rsid w:val="001A0EB4"/>
    <w:rsid w:val="001A5F62"/>
    <w:rsid w:val="001B0358"/>
    <w:rsid w:val="001B618B"/>
    <w:rsid w:val="001C0F36"/>
    <w:rsid w:val="001C1338"/>
    <w:rsid w:val="001C4140"/>
    <w:rsid w:val="001C5A94"/>
    <w:rsid w:val="001D3223"/>
    <w:rsid w:val="001D33EF"/>
    <w:rsid w:val="001D57A0"/>
    <w:rsid w:val="001E0829"/>
    <w:rsid w:val="001E0CD3"/>
    <w:rsid w:val="001F05CE"/>
    <w:rsid w:val="001F4A65"/>
    <w:rsid w:val="00205EF8"/>
    <w:rsid w:val="0021035B"/>
    <w:rsid w:val="0023254A"/>
    <w:rsid w:val="00236216"/>
    <w:rsid w:val="00240B74"/>
    <w:rsid w:val="0024206C"/>
    <w:rsid w:val="00263B50"/>
    <w:rsid w:val="00263C1C"/>
    <w:rsid w:val="00264F50"/>
    <w:rsid w:val="00274FBE"/>
    <w:rsid w:val="00275525"/>
    <w:rsid w:val="002762E1"/>
    <w:rsid w:val="002811BC"/>
    <w:rsid w:val="00283DE8"/>
    <w:rsid w:val="00285966"/>
    <w:rsid w:val="00285A0D"/>
    <w:rsid w:val="002863C3"/>
    <w:rsid w:val="00290ED8"/>
    <w:rsid w:val="00296B49"/>
    <w:rsid w:val="002A3D26"/>
    <w:rsid w:val="002B1ADF"/>
    <w:rsid w:val="002C444C"/>
    <w:rsid w:val="002C6C7A"/>
    <w:rsid w:val="002C7F78"/>
    <w:rsid w:val="002D5277"/>
    <w:rsid w:val="002D71FA"/>
    <w:rsid w:val="002F1437"/>
    <w:rsid w:val="002F3943"/>
    <w:rsid w:val="002F4E34"/>
    <w:rsid w:val="002F79E7"/>
    <w:rsid w:val="0030363A"/>
    <w:rsid w:val="00317EB0"/>
    <w:rsid w:val="00324D76"/>
    <w:rsid w:val="00332700"/>
    <w:rsid w:val="003342A0"/>
    <w:rsid w:val="00345D80"/>
    <w:rsid w:val="003471D4"/>
    <w:rsid w:val="003539A2"/>
    <w:rsid w:val="003557E9"/>
    <w:rsid w:val="003560BA"/>
    <w:rsid w:val="0038227E"/>
    <w:rsid w:val="003832D2"/>
    <w:rsid w:val="00393137"/>
    <w:rsid w:val="00397249"/>
    <w:rsid w:val="00397406"/>
    <w:rsid w:val="003C749E"/>
    <w:rsid w:val="003D2871"/>
    <w:rsid w:val="003D5B83"/>
    <w:rsid w:val="003D6A97"/>
    <w:rsid w:val="003E6A37"/>
    <w:rsid w:val="003E6E47"/>
    <w:rsid w:val="003F01B4"/>
    <w:rsid w:val="003F0623"/>
    <w:rsid w:val="003F1F32"/>
    <w:rsid w:val="003F24F4"/>
    <w:rsid w:val="003F3A41"/>
    <w:rsid w:val="003F6688"/>
    <w:rsid w:val="003F762C"/>
    <w:rsid w:val="00401031"/>
    <w:rsid w:val="00413CDB"/>
    <w:rsid w:val="004200FE"/>
    <w:rsid w:val="0042049F"/>
    <w:rsid w:val="00421183"/>
    <w:rsid w:val="00426FC2"/>
    <w:rsid w:val="00441957"/>
    <w:rsid w:val="00443D32"/>
    <w:rsid w:val="004469DD"/>
    <w:rsid w:val="00447CE5"/>
    <w:rsid w:val="00447D6E"/>
    <w:rsid w:val="00452FF1"/>
    <w:rsid w:val="0046286E"/>
    <w:rsid w:val="00471234"/>
    <w:rsid w:val="00471AED"/>
    <w:rsid w:val="00472250"/>
    <w:rsid w:val="0047437C"/>
    <w:rsid w:val="00474507"/>
    <w:rsid w:val="00477522"/>
    <w:rsid w:val="00493457"/>
    <w:rsid w:val="00494628"/>
    <w:rsid w:val="004A1130"/>
    <w:rsid w:val="004A1650"/>
    <w:rsid w:val="004A66E9"/>
    <w:rsid w:val="004B4A3A"/>
    <w:rsid w:val="004B750E"/>
    <w:rsid w:val="004C2244"/>
    <w:rsid w:val="004C23F1"/>
    <w:rsid w:val="004E01F5"/>
    <w:rsid w:val="004E297E"/>
    <w:rsid w:val="004E76CA"/>
    <w:rsid w:val="004E7B1A"/>
    <w:rsid w:val="004F0EE0"/>
    <w:rsid w:val="004F1698"/>
    <w:rsid w:val="00500AF2"/>
    <w:rsid w:val="0051020F"/>
    <w:rsid w:val="00513CAB"/>
    <w:rsid w:val="00517A18"/>
    <w:rsid w:val="005225EE"/>
    <w:rsid w:val="005476F6"/>
    <w:rsid w:val="005509EF"/>
    <w:rsid w:val="00560223"/>
    <w:rsid w:val="00560934"/>
    <w:rsid w:val="00564960"/>
    <w:rsid w:val="005729C8"/>
    <w:rsid w:val="005734A4"/>
    <w:rsid w:val="005931F2"/>
    <w:rsid w:val="005A0E53"/>
    <w:rsid w:val="005A1078"/>
    <w:rsid w:val="005A17AC"/>
    <w:rsid w:val="005A282B"/>
    <w:rsid w:val="005A4658"/>
    <w:rsid w:val="005A5B88"/>
    <w:rsid w:val="005B28C1"/>
    <w:rsid w:val="005C2E48"/>
    <w:rsid w:val="005C3589"/>
    <w:rsid w:val="005C3F23"/>
    <w:rsid w:val="005D4DD7"/>
    <w:rsid w:val="005E12A9"/>
    <w:rsid w:val="005E500F"/>
    <w:rsid w:val="005F139E"/>
    <w:rsid w:val="005F7EC9"/>
    <w:rsid w:val="00602799"/>
    <w:rsid w:val="00612041"/>
    <w:rsid w:val="006135CC"/>
    <w:rsid w:val="00614627"/>
    <w:rsid w:val="00614AFF"/>
    <w:rsid w:val="00621ABA"/>
    <w:rsid w:val="00631157"/>
    <w:rsid w:val="006404E6"/>
    <w:rsid w:val="0064729D"/>
    <w:rsid w:val="00647ABE"/>
    <w:rsid w:val="00654101"/>
    <w:rsid w:val="00664B05"/>
    <w:rsid w:val="006746FE"/>
    <w:rsid w:val="00685D5C"/>
    <w:rsid w:val="00697868"/>
    <w:rsid w:val="006A055F"/>
    <w:rsid w:val="006A5293"/>
    <w:rsid w:val="006A6D15"/>
    <w:rsid w:val="006B0DF3"/>
    <w:rsid w:val="006B4A48"/>
    <w:rsid w:val="006C0DFA"/>
    <w:rsid w:val="006C2C55"/>
    <w:rsid w:val="006C430A"/>
    <w:rsid w:val="006D2809"/>
    <w:rsid w:val="006D33C3"/>
    <w:rsid w:val="006D5A67"/>
    <w:rsid w:val="006E17DD"/>
    <w:rsid w:val="006E30ED"/>
    <w:rsid w:val="006E3342"/>
    <w:rsid w:val="006E4B12"/>
    <w:rsid w:val="006E5086"/>
    <w:rsid w:val="006E6206"/>
    <w:rsid w:val="006F70B7"/>
    <w:rsid w:val="006F78D5"/>
    <w:rsid w:val="0070091B"/>
    <w:rsid w:val="007048AC"/>
    <w:rsid w:val="007254F6"/>
    <w:rsid w:val="00733C7D"/>
    <w:rsid w:val="00737C4F"/>
    <w:rsid w:val="00740761"/>
    <w:rsid w:val="0074235A"/>
    <w:rsid w:val="00745F77"/>
    <w:rsid w:val="007464DE"/>
    <w:rsid w:val="00751A39"/>
    <w:rsid w:val="00755A45"/>
    <w:rsid w:val="00760CDC"/>
    <w:rsid w:val="00764D0D"/>
    <w:rsid w:val="007663B2"/>
    <w:rsid w:val="00782BC3"/>
    <w:rsid w:val="007876BA"/>
    <w:rsid w:val="007933F1"/>
    <w:rsid w:val="00794567"/>
    <w:rsid w:val="007E2F2A"/>
    <w:rsid w:val="007E43F8"/>
    <w:rsid w:val="007E5076"/>
    <w:rsid w:val="007E656B"/>
    <w:rsid w:val="007F2997"/>
    <w:rsid w:val="007F50E8"/>
    <w:rsid w:val="007F54E2"/>
    <w:rsid w:val="007F7FBA"/>
    <w:rsid w:val="00800319"/>
    <w:rsid w:val="0080044E"/>
    <w:rsid w:val="0080069F"/>
    <w:rsid w:val="00801F7F"/>
    <w:rsid w:val="00824F1C"/>
    <w:rsid w:val="00826688"/>
    <w:rsid w:val="00864B9E"/>
    <w:rsid w:val="00881A42"/>
    <w:rsid w:val="00885E0A"/>
    <w:rsid w:val="0088603B"/>
    <w:rsid w:val="00893FC3"/>
    <w:rsid w:val="0089577B"/>
    <w:rsid w:val="008B1024"/>
    <w:rsid w:val="008B1357"/>
    <w:rsid w:val="008B2DF3"/>
    <w:rsid w:val="008C2E0E"/>
    <w:rsid w:val="008C654F"/>
    <w:rsid w:val="008C7F79"/>
    <w:rsid w:val="008D3930"/>
    <w:rsid w:val="008D627D"/>
    <w:rsid w:val="008E17CC"/>
    <w:rsid w:val="008E25B1"/>
    <w:rsid w:val="008F2167"/>
    <w:rsid w:val="008F33B4"/>
    <w:rsid w:val="0090077A"/>
    <w:rsid w:val="00904ADA"/>
    <w:rsid w:val="00907697"/>
    <w:rsid w:val="009138A0"/>
    <w:rsid w:val="0091424C"/>
    <w:rsid w:val="00922B85"/>
    <w:rsid w:val="00923DDA"/>
    <w:rsid w:val="00926276"/>
    <w:rsid w:val="00933188"/>
    <w:rsid w:val="00935AF9"/>
    <w:rsid w:val="0094263A"/>
    <w:rsid w:val="009500DC"/>
    <w:rsid w:val="00951923"/>
    <w:rsid w:val="00972C81"/>
    <w:rsid w:val="00977505"/>
    <w:rsid w:val="009824E9"/>
    <w:rsid w:val="00995479"/>
    <w:rsid w:val="00995CB0"/>
    <w:rsid w:val="00997E77"/>
    <w:rsid w:val="009A0EA5"/>
    <w:rsid w:val="009A2734"/>
    <w:rsid w:val="009B49AE"/>
    <w:rsid w:val="009B5B7B"/>
    <w:rsid w:val="009B6A79"/>
    <w:rsid w:val="009C1777"/>
    <w:rsid w:val="009C2C86"/>
    <w:rsid w:val="009D0753"/>
    <w:rsid w:val="009D5131"/>
    <w:rsid w:val="009E1802"/>
    <w:rsid w:val="009E1CDE"/>
    <w:rsid w:val="009E51E2"/>
    <w:rsid w:val="009F7A61"/>
    <w:rsid w:val="00A11800"/>
    <w:rsid w:val="00A11C16"/>
    <w:rsid w:val="00A1423E"/>
    <w:rsid w:val="00A17664"/>
    <w:rsid w:val="00A24520"/>
    <w:rsid w:val="00A26E97"/>
    <w:rsid w:val="00A500D6"/>
    <w:rsid w:val="00A523FF"/>
    <w:rsid w:val="00A57D36"/>
    <w:rsid w:val="00A67907"/>
    <w:rsid w:val="00A7617F"/>
    <w:rsid w:val="00A84127"/>
    <w:rsid w:val="00A86DA2"/>
    <w:rsid w:val="00A91644"/>
    <w:rsid w:val="00AB06C0"/>
    <w:rsid w:val="00AB21D4"/>
    <w:rsid w:val="00AB21F5"/>
    <w:rsid w:val="00AB2490"/>
    <w:rsid w:val="00AB3386"/>
    <w:rsid w:val="00AB36DB"/>
    <w:rsid w:val="00AC0B1D"/>
    <w:rsid w:val="00AC5309"/>
    <w:rsid w:val="00AD4DD0"/>
    <w:rsid w:val="00AE073B"/>
    <w:rsid w:val="00AF6342"/>
    <w:rsid w:val="00B053FB"/>
    <w:rsid w:val="00B0612C"/>
    <w:rsid w:val="00B07EE5"/>
    <w:rsid w:val="00B16551"/>
    <w:rsid w:val="00B21CC5"/>
    <w:rsid w:val="00B26778"/>
    <w:rsid w:val="00B26B83"/>
    <w:rsid w:val="00B32479"/>
    <w:rsid w:val="00B34662"/>
    <w:rsid w:val="00B403ED"/>
    <w:rsid w:val="00B4065F"/>
    <w:rsid w:val="00B85EB2"/>
    <w:rsid w:val="00B866B4"/>
    <w:rsid w:val="00B872C4"/>
    <w:rsid w:val="00B90CFC"/>
    <w:rsid w:val="00B94226"/>
    <w:rsid w:val="00BA0A8C"/>
    <w:rsid w:val="00BA2E7E"/>
    <w:rsid w:val="00BA590A"/>
    <w:rsid w:val="00BB0B39"/>
    <w:rsid w:val="00BB30D1"/>
    <w:rsid w:val="00BB5F75"/>
    <w:rsid w:val="00BC6524"/>
    <w:rsid w:val="00BD3931"/>
    <w:rsid w:val="00BD418E"/>
    <w:rsid w:val="00BD5B88"/>
    <w:rsid w:val="00BE209D"/>
    <w:rsid w:val="00C01741"/>
    <w:rsid w:val="00C11295"/>
    <w:rsid w:val="00C23085"/>
    <w:rsid w:val="00C24D03"/>
    <w:rsid w:val="00C25E61"/>
    <w:rsid w:val="00C45B63"/>
    <w:rsid w:val="00C54EFF"/>
    <w:rsid w:val="00C55D03"/>
    <w:rsid w:val="00C67E59"/>
    <w:rsid w:val="00C72B8B"/>
    <w:rsid w:val="00C72CB5"/>
    <w:rsid w:val="00C801A4"/>
    <w:rsid w:val="00C805BC"/>
    <w:rsid w:val="00CA2AB4"/>
    <w:rsid w:val="00CB0100"/>
    <w:rsid w:val="00CD4D28"/>
    <w:rsid w:val="00CD7B81"/>
    <w:rsid w:val="00CE0478"/>
    <w:rsid w:val="00CE0C66"/>
    <w:rsid w:val="00CE28CF"/>
    <w:rsid w:val="00CE3B3A"/>
    <w:rsid w:val="00CE4386"/>
    <w:rsid w:val="00CE5BEB"/>
    <w:rsid w:val="00CE69E9"/>
    <w:rsid w:val="00CF464D"/>
    <w:rsid w:val="00D215D3"/>
    <w:rsid w:val="00D25074"/>
    <w:rsid w:val="00D27FBA"/>
    <w:rsid w:val="00D30B8B"/>
    <w:rsid w:val="00D36798"/>
    <w:rsid w:val="00D47E80"/>
    <w:rsid w:val="00D525A7"/>
    <w:rsid w:val="00D53060"/>
    <w:rsid w:val="00D72051"/>
    <w:rsid w:val="00D7380B"/>
    <w:rsid w:val="00D75D77"/>
    <w:rsid w:val="00DA089A"/>
    <w:rsid w:val="00DA11A0"/>
    <w:rsid w:val="00DA690B"/>
    <w:rsid w:val="00DA7225"/>
    <w:rsid w:val="00DB13F5"/>
    <w:rsid w:val="00DC1966"/>
    <w:rsid w:val="00DE5758"/>
    <w:rsid w:val="00DE5FCF"/>
    <w:rsid w:val="00DF0D19"/>
    <w:rsid w:val="00DF2EE9"/>
    <w:rsid w:val="00DF6FD8"/>
    <w:rsid w:val="00E05A80"/>
    <w:rsid w:val="00E071A5"/>
    <w:rsid w:val="00E07752"/>
    <w:rsid w:val="00E12C60"/>
    <w:rsid w:val="00E16609"/>
    <w:rsid w:val="00E16F08"/>
    <w:rsid w:val="00E233F3"/>
    <w:rsid w:val="00E26B34"/>
    <w:rsid w:val="00E33B91"/>
    <w:rsid w:val="00E34202"/>
    <w:rsid w:val="00E3629E"/>
    <w:rsid w:val="00E3685A"/>
    <w:rsid w:val="00E37041"/>
    <w:rsid w:val="00E37F72"/>
    <w:rsid w:val="00E40CF9"/>
    <w:rsid w:val="00E42A30"/>
    <w:rsid w:val="00E76B31"/>
    <w:rsid w:val="00E81F3E"/>
    <w:rsid w:val="00E84C48"/>
    <w:rsid w:val="00E859BD"/>
    <w:rsid w:val="00E86B70"/>
    <w:rsid w:val="00E87C8F"/>
    <w:rsid w:val="00E924C3"/>
    <w:rsid w:val="00E96759"/>
    <w:rsid w:val="00E97CFA"/>
    <w:rsid w:val="00EA500F"/>
    <w:rsid w:val="00EB34FC"/>
    <w:rsid w:val="00EB47D4"/>
    <w:rsid w:val="00EB76E1"/>
    <w:rsid w:val="00EF5416"/>
    <w:rsid w:val="00F05BD2"/>
    <w:rsid w:val="00F06CCF"/>
    <w:rsid w:val="00F1053D"/>
    <w:rsid w:val="00F12733"/>
    <w:rsid w:val="00F20DCF"/>
    <w:rsid w:val="00F259AB"/>
    <w:rsid w:val="00F26596"/>
    <w:rsid w:val="00F341E3"/>
    <w:rsid w:val="00F4304D"/>
    <w:rsid w:val="00F4752B"/>
    <w:rsid w:val="00F476E8"/>
    <w:rsid w:val="00F47E99"/>
    <w:rsid w:val="00F56792"/>
    <w:rsid w:val="00F60E32"/>
    <w:rsid w:val="00F7242E"/>
    <w:rsid w:val="00F91120"/>
    <w:rsid w:val="00F96DEB"/>
    <w:rsid w:val="00FA1EA9"/>
    <w:rsid w:val="00FA3149"/>
    <w:rsid w:val="00FB2590"/>
    <w:rsid w:val="00FD5A8C"/>
    <w:rsid w:val="00FE286E"/>
    <w:rsid w:val="00FE3233"/>
    <w:rsid w:val="00FE5D6D"/>
    <w:rsid w:val="00FF4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66964">
      <w:bodyDiv w:val="1"/>
      <w:marLeft w:val="0"/>
      <w:marRight w:val="0"/>
      <w:marTop w:val="0"/>
      <w:marBottom w:val="0"/>
      <w:divBdr>
        <w:top w:val="none" w:sz="0" w:space="0" w:color="auto"/>
        <w:left w:val="none" w:sz="0" w:space="0" w:color="auto"/>
        <w:bottom w:val="none" w:sz="0" w:space="0" w:color="auto"/>
        <w:right w:val="none" w:sz="0" w:space="0" w:color="auto"/>
      </w:divBdr>
    </w:div>
    <w:div w:id="341670238">
      <w:bodyDiv w:val="1"/>
      <w:marLeft w:val="0"/>
      <w:marRight w:val="0"/>
      <w:marTop w:val="0"/>
      <w:marBottom w:val="0"/>
      <w:divBdr>
        <w:top w:val="none" w:sz="0" w:space="0" w:color="auto"/>
        <w:left w:val="none" w:sz="0" w:space="0" w:color="auto"/>
        <w:bottom w:val="none" w:sz="0" w:space="0" w:color="auto"/>
        <w:right w:val="none" w:sz="0" w:space="0" w:color="auto"/>
      </w:divBdr>
    </w:div>
    <w:div w:id="36603222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973613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35737024">
      <w:bodyDiv w:val="1"/>
      <w:marLeft w:val="0"/>
      <w:marRight w:val="0"/>
      <w:marTop w:val="0"/>
      <w:marBottom w:val="0"/>
      <w:divBdr>
        <w:top w:val="none" w:sz="0" w:space="0" w:color="auto"/>
        <w:left w:val="none" w:sz="0" w:space="0" w:color="auto"/>
        <w:bottom w:val="none" w:sz="0" w:space="0" w:color="auto"/>
        <w:right w:val="none" w:sz="0" w:space="0" w:color="auto"/>
      </w:divBdr>
    </w:div>
    <w:div w:id="12585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image" Target="media/image1.wmf"/><Relationship Id="rId26" Type="http://schemas.openxmlformats.org/officeDocument/2006/relationships/image" Target="media/image5.wmf"/><Relationship Id="rId39" Type="http://schemas.openxmlformats.org/officeDocument/2006/relationships/package" Target="embeddings/Microsoft_Excel_Worksheet1.xlsx"/><Relationship Id="rId3" Type="http://schemas.openxmlformats.org/officeDocument/2006/relationships/customXml" Target="../customXml/item3.xml"/><Relationship Id="rId21" Type="http://schemas.openxmlformats.org/officeDocument/2006/relationships/oleObject" Target="embeddings/oleObject2.bin"/><Relationship Id="rId34" Type="http://schemas.openxmlformats.org/officeDocument/2006/relationships/image" Target="media/image9.wmf"/><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www.ahridirectory.org/ahridirectory/pages/home.aspx" TargetMode="Externa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1.emf"/><Relationship Id="rId2" Type="http://schemas.openxmlformats.org/officeDocument/2006/relationships/customXml" Target="../customXml/item2.xml"/><Relationship Id="rId16" Type="http://schemas.openxmlformats.org/officeDocument/2006/relationships/hyperlink" Target="http://www.energy.ca.gov/maps/renewable/Climate_Zones_Zipcode.pdf" TargetMode="External"/><Relationship Id="rId20" Type="http://schemas.openxmlformats.org/officeDocument/2006/relationships/image" Target="media/image2.wmf"/><Relationship Id="rId29" Type="http://schemas.openxmlformats.org/officeDocument/2006/relationships/oleObject" Target="embeddings/oleObject6.bin"/><Relationship Id="rId41" Type="http://schemas.openxmlformats.org/officeDocument/2006/relationships/hyperlink" Target="http://www.energy.ca.gov/ceus/index.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oleObject" Target="embeddings/oleObject10.bin"/><Relationship Id="rId40" Type="http://schemas.openxmlformats.org/officeDocument/2006/relationships/hyperlink" Target="http://www1.eere.energy.gov/buildings/appliance_standards/pdfs/cacfurn_dfr.pdf" TargetMode="External"/><Relationship Id="rId5" Type="http://schemas.openxmlformats.org/officeDocument/2006/relationships/customXml" Target="../customXml/item5.xml"/><Relationship Id="rId15" Type="http://schemas.openxmlformats.org/officeDocument/2006/relationships/hyperlink" Target="https://www.ahridirectory.org/ahridirectory/pages/home.aspx" TargetMode="External"/><Relationship Id="rId23" Type="http://schemas.openxmlformats.org/officeDocument/2006/relationships/oleObject" Target="embeddings/oleObject3.bin"/><Relationship Id="rId28" Type="http://schemas.openxmlformats.org/officeDocument/2006/relationships/image" Target="media/image6.wmf"/><Relationship Id="rId36" Type="http://schemas.openxmlformats.org/officeDocument/2006/relationships/image" Target="media/image10.wmf"/><Relationship Id="rId10" Type="http://schemas.openxmlformats.org/officeDocument/2006/relationships/webSettings" Target="webSettings.xml"/><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9.bin"/><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DABCE129504DF996472993CB0EBA18"/>
        <w:category>
          <w:name w:val="General"/>
          <w:gallery w:val="placeholder"/>
        </w:category>
        <w:types>
          <w:type w:val="bbPlcHdr"/>
        </w:types>
        <w:behaviors>
          <w:behavior w:val="content"/>
        </w:behaviors>
        <w:guid w:val="{147985FA-85B3-48EA-93D4-7886694AC002}"/>
      </w:docPartPr>
      <w:docPartBody>
        <w:p w:rsidR="00F7350A" w:rsidRDefault="00F7350A">
          <w:r w:rsidRPr="0033327F">
            <w:rPr>
              <w:rStyle w:val="PlaceholderText"/>
            </w:rPr>
            <w:t>[Title]</w:t>
          </w:r>
        </w:p>
      </w:docPartBody>
    </w:docPart>
    <w:docPart>
      <w:docPartPr>
        <w:name w:val="0BE660D62F514EE6B1E147B3637238F2"/>
        <w:category>
          <w:name w:val="General"/>
          <w:gallery w:val="placeholder"/>
        </w:category>
        <w:types>
          <w:type w:val="bbPlcHdr"/>
        </w:types>
        <w:behaviors>
          <w:behavior w:val="content"/>
        </w:behaviors>
        <w:guid w:val="{63E81BB1-C01F-4A58-89B6-E3AADBC91820}"/>
      </w:docPartPr>
      <w:docPartBody>
        <w:p w:rsidR="00F7350A" w:rsidRDefault="00F7350A">
          <w:r w:rsidRPr="0033327F">
            <w:rPr>
              <w:rStyle w:val="PlaceholderText"/>
            </w:rPr>
            <w:t>[Status]</w:t>
          </w:r>
        </w:p>
      </w:docPartBody>
    </w:docPart>
    <w:docPart>
      <w:docPartPr>
        <w:name w:val="2B363068873E4A96A5BDA3A6BCE727F1"/>
        <w:category>
          <w:name w:val="General"/>
          <w:gallery w:val="placeholder"/>
        </w:category>
        <w:types>
          <w:type w:val="bbPlcHdr"/>
        </w:types>
        <w:behaviors>
          <w:behavior w:val="content"/>
        </w:behaviors>
        <w:guid w:val="{63456FA4-5C7C-4549-B719-5292249A6A74}"/>
      </w:docPartPr>
      <w:docPartBody>
        <w:p w:rsidR="00F7350A" w:rsidRDefault="00F7350A">
          <w:r w:rsidRPr="0033327F">
            <w:rPr>
              <w:rStyle w:val="PlaceholderText"/>
            </w:rPr>
            <w:t>[Publish Date]</w:t>
          </w:r>
        </w:p>
      </w:docPartBody>
    </w:docPart>
    <w:docPart>
      <w:docPartPr>
        <w:name w:val="FADF98E92B6B4CF783B4115958C908E7"/>
        <w:category>
          <w:name w:val="General"/>
          <w:gallery w:val="placeholder"/>
        </w:category>
        <w:types>
          <w:type w:val="bbPlcHdr"/>
        </w:types>
        <w:behaviors>
          <w:behavior w:val="content"/>
        </w:behaviors>
        <w:guid w:val="{DC8A75F0-021D-4245-8741-3E4272BA0C5E}"/>
      </w:docPartPr>
      <w:docPartBody>
        <w:p w:rsidR="00F7350A" w:rsidRDefault="00F7350A">
          <w:r w:rsidRPr="0033327F">
            <w:rPr>
              <w:rStyle w:val="PlaceholderText"/>
            </w:rPr>
            <w:t>[Publish Date]</w:t>
          </w:r>
        </w:p>
      </w:docPartBody>
    </w:docPart>
    <w:docPart>
      <w:docPartPr>
        <w:name w:val="FDB7CFD1A3AE4EF19178EFA5A0DD5F95"/>
        <w:category>
          <w:name w:val="General"/>
          <w:gallery w:val="placeholder"/>
        </w:category>
        <w:types>
          <w:type w:val="bbPlcHdr"/>
        </w:types>
        <w:behaviors>
          <w:behavior w:val="content"/>
        </w:behaviors>
        <w:guid w:val="{B8021511-53F2-4BB3-AF9C-526270526709}"/>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53A5D"/>
    <w:rsid w:val="00182607"/>
    <w:rsid w:val="00257E45"/>
    <w:rsid w:val="002773AD"/>
    <w:rsid w:val="00311B0D"/>
    <w:rsid w:val="004B2B23"/>
    <w:rsid w:val="004B6086"/>
    <w:rsid w:val="00560392"/>
    <w:rsid w:val="00904B5C"/>
    <w:rsid w:val="00965A2C"/>
    <w:rsid w:val="00BB348D"/>
    <w:rsid w:val="00BB661F"/>
    <w:rsid w:val="00C24569"/>
    <w:rsid w:val="00CE7207"/>
    <w:rsid w:val="00D02EC3"/>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4B5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4B5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2017-01-01T00:00:00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E1BB84-16F8-4BFC-8AEC-D26D3DD80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3EC73B1-BC56-4601-8BE3-846FEBB0DBEA}">
  <ds:schemaRefs>
    <ds:schemaRef ds:uri="http://schemas.microsoft.com/sharepoint/v3/contenttype/forms"/>
  </ds:schemaRefs>
</ds:datastoreItem>
</file>

<file path=customXml/itemProps4.xml><?xml version="1.0" encoding="utf-8"?>
<ds:datastoreItem xmlns:ds="http://schemas.openxmlformats.org/officeDocument/2006/customXml" ds:itemID="{0E6B2E89-E1E5-4C72-BDB2-FE06D22984B9}">
  <ds:schemaRefs>
    <ds:schemaRef ds:uri="http://schemas.microsoft.com/office/2006/metadata/properties"/>
  </ds:schemaRefs>
</ds:datastoreItem>
</file>

<file path=customXml/itemProps5.xml><?xml version="1.0" encoding="utf-8"?>
<ds:datastoreItem xmlns:ds="http://schemas.openxmlformats.org/officeDocument/2006/customXml" ds:itemID="{A6703279-AD4D-448A-BBC3-ACFDB6DAC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17</Pages>
  <Words>3725</Words>
  <Characters>21237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PGECOHVC146</vt:lpstr>
    </vt:vector>
  </TitlesOfParts>
  <Company>Pacific Gas and Electric Company</Company>
  <LinksUpToDate>false</LinksUpToDate>
  <CharactersWithSpaces>24913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PGECOHVC146</dc:title>
  <dc:creator>O'Keefe, Brian;Jason H Wang</dc:creator>
  <cp:lastModifiedBy>Liu, Henry</cp:lastModifiedBy>
  <cp:revision>14</cp:revision>
  <cp:lastPrinted>2016-12-21T18:35:00Z</cp:lastPrinted>
  <dcterms:created xsi:type="dcterms:W3CDTF">2016-12-12T17:43:00Z</dcterms:created>
  <dcterms:modified xsi:type="dcterms:W3CDTF">2016-12-21T23:38:00Z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1715800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